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20"/>
        </w:rPr>
        <w:t>Date of Report (Date of earliest event reported):</w:t>
      </w:r>
      <w:r>
        <w:rPr>
          <w:color w:val="000000"/>
        </w:rPr>
        <w:t>  </w:t>
      </w:r>
      <w:r>
        <w:rPr>
          <w:rFonts w:ascii="Times New Roman;serif" w:hAnsi="Times New Roman;serif"/>
          <w:b/>
          <w:color w:val="000000"/>
          <w:sz w:val="20"/>
        </w:rPr>
        <w:t>October 22, 2026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NVR,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4486" w:type="dxa"/>
        <w:jc w:val="center"/>
        <w:tblInd w:w="0" w:type="dxa"/>
        <w:tblLayout w:type="fixed"/>
        <w:tblCellMar>
          <w:top w:w="28" w:type="dxa"/>
          <w:left w:w="28" w:type="dxa"/>
          <w:bottom w:w="28" w:type="dxa"/>
          <w:right w:w="28" w:type="dxa"/>
        </w:tblCellMar>
      </w:tblPr>
      <w:tblGrid>
        <w:gridCol w:w="710"/>
        <w:gridCol w:w="623"/>
        <w:gridCol w:w="632"/>
        <w:gridCol w:w="354"/>
        <w:gridCol w:w="354"/>
        <w:gridCol w:w="358"/>
        <w:gridCol w:w="426"/>
        <w:gridCol w:w="426"/>
        <w:gridCol w:w="603"/>
      </w:tblGrid>
      <w:tr>
        <w:trPr/>
        <w:tc>
          <w:tcPr>
            <w:tcW w:w="71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Virginia</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1-12378</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54-1394360</w:t>
            </w:r>
          </w:p>
        </w:tc>
      </w:tr>
      <w:tr>
        <w:trPr/>
        <w:tc>
          <w:tcPr>
            <w:tcW w:w="19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of incorporation)</w:t>
            </w:r>
          </w:p>
        </w:tc>
        <w:tc>
          <w:tcPr>
            <w:tcW w:w="10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(Commission</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File Number)</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(IRS Employer</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Identification No.)</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1900 Oracle Way, Suite 300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Reston, Virginia 20190</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 (Zip Code)</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color w:val="000000"/>
          <w:sz w:val="20"/>
        </w:rPr>
        <w:t>703) 956-4000</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(Former name or former address, if changed since last report)</w:t>
      </w:r>
    </w:p>
    <w:tbl>
      <w:tblPr>
        <w:tblW w:w="9051" w:type="dxa"/>
        <w:jc w:val="center"/>
        <w:tblInd w:w="0" w:type="dxa"/>
        <w:tblLayout w:type="fixed"/>
        <w:tblCellMar>
          <w:top w:w="28" w:type="dxa"/>
          <w:left w:w="28" w:type="dxa"/>
          <w:bottom w:w="28" w:type="dxa"/>
          <w:right w:w="28" w:type="dxa"/>
        </w:tblCellMar>
      </w:tblPr>
      <w:tblGrid>
        <w:gridCol w:w="1312"/>
        <w:gridCol w:w="1151"/>
        <w:gridCol w:w="1166"/>
        <w:gridCol w:w="109"/>
        <w:gridCol w:w="109"/>
        <w:gridCol w:w="109"/>
        <w:gridCol w:w="484"/>
        <w:gridCol w:w="484"/>
        <w:gridCol w:w="486"/>
        <w:gridCol w:w="109"/>
        <w:gridCol w:w="109"/>
        <w:gridCol w:w="109"/>
        <w:gridCol w:w="970"/>
        <w:gridCol w:w="970"/>
        <w:gridCol w:w="1374"/>
      </w:tblGrid>
      <w:tr>
        <w:trPr/>
        <w:tc>
          <w:tcPr>
            <w:tcW w:w="1312"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6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NVR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r>
        <w:trPr/>
        <w:tc>
          <w:tcPr>
            <w:tcW w:w="3629"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1500"/>
        <w:gridCol w:w="1316"/>
        <w:gridCol w:w="1316"/>
        <w:gridCol w:w="2070"/>
        <w:gridCol w:w="1650"/>
        <w:gridCol w:w="2353"/>
      </w:tblGrid>
      <w:tr>
        <w:trPr/>
        <w:tc>
          <w:tcPr>
            <w:tcW w:w="1500"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2353"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c>
      </w:tr>
      <w:tr>
        <w:trPr/>
        <w:tc>
          <w:tcPr>
            <w:tcW w:w="4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4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4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4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r>
        <w:trPr/>
        <w:tc>
          <w:tcPr>
            <w:tcW w:w="4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954"/>
        <w:gridCol w:w="1517"/>
        <w:gridCol w:w="1517"/>
        <w:gridCol w:w="1517"/>
        <w:gridCol w:w="1517"/>
        <w:gridCol w:w="2183"/>
      </w:tblGrid>
      <w:tr>
        <w:trPr/>
        <w:tc>
          <w:tcPr>
            <w:tcW w:w="1954"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Rule405 of the Securities Act of 1933 (§230.405 of this chapter) or Rule12b-2 of the Securities Exchange Act of 1934 (§240.12b-2 of this chapter).</w:t>
            </w:r>
          </w:p>
        </w:tc>
      </w:tr>
      <w:tr>
        <w:trPr/>
        <w:tc>
          <w:tcPr>
            <w:tcW w:w="4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52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4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Section13(a)of the Exchange Act. ☐</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5939" w:type="dxa"/>
        <w:jc w:val="center"/>
        <w:tblInd w:w="0" w:type="dxa"/>
        <w:tblLayout w:type="fixed"/>
        <w:tblCellMar>
          <w:top w:w="28" w:type="dxa"/>
          <w:left w:w="28" w:type="dxa"/>
          <w:bottom w:w="28" w:type="dxa"/>
          <w:right w:w="28" w:type="dxa"/>
        </w:tblCellMar>
      </w:tblPr>
      <w:tblGrid>
        <w:gridCol w:w="704"/>
        <w:gridCol w:w="621"/>
        <w:gridCol w:w="621"/>
        <w:gridCol w:w="621"/>
        <w:gridCol w:w="621"/>
        <w:gridCol w:w="621"/>
        <w:gridCol w:w="621"/>
        <w:gridCol w:w="621"/>
        <w:gridCol w:w="888"/>
      </w:tblGrid>
      <w:tr>
        <w:trPr/>
        <w:tc>
          <w:tcPr>
            <w:tcW w:w="704"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r>
      <w:tr>
        <w:trPr/>
        <w:tc>
          <w:tcPr>
            <w:tcW w:w="5939"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Item 2.02 Results of Operations and Financial Condition.</w:t>
            </w:r>
          </w:p>
        </w:tc>
      </w:tr>
    </w:tbl>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On October 22, 2026, NVR, Inc. issued a press release reporting its financial results for the quarter and year to date periods ended September 30, 2026. A copy of this press release is furnished herewith as Exhibit 99.1. </w:t>
      </w:r>
    </w:p>
    <w:p>
      <w:pPr>
        <w:pStyle w:val="TextBody"/>
        <w:bidi w:val="0"/>
        <w:spacing w:lineRule="auto" w:line="288" w:before="240" w:after="283"/>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information contained in this Current Report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tbl>
      <w:tblPr>
        <w:tblW w:w="10205" w:type="dxa"/>
        <w:jc w:val="center"/>
        <w:tblInd w:w="0" w:type="dxa"/>
        <w:tblLayout w:type="fixed"/>
        <w:tblCellMar>
          <w:top w:w="28" w:type="dxa"/>
          <w:left w:w="28" w:type="dxa"/>
          <w:bottom w:w="28" w:type="dxa"/>
          <w:right w:w="28" w:type="dxa"/>
        </w:tblCellMar>
      </w:tblPr>
      <w:tblGrid>
        <w:gridCol w:w="636"/>
        <w:gridCol w:w="540"/>
        <w:gridCol w:w="524"/>
        <w:gridCol w:w="452"/>
        <w:gridCol w:w="452"/>
        <w:gridCol w:w="452"/>
        <w:gridCol w:w="2076"/>
        <w:gridCol w:w="2076"/>
        <w:gridCol w:w="2997"/>
      </w:tblGrid>
      <w:tr>
        <w:trPr/>
        <w:tc>
          <w:tcPr>
            <w:tcW w:w="63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c>
          <w:tcPr>
            <w:tcW w:w="2997"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Item 9.01 Financial Statements and Exhibits.</w:t>
            </w:r>
          </w:p>
        </w:tc>
      </w:tr>
      <w:tr>
        <w:trPr/>
        <w:tc>
          <w:tcPr>
            <w:tcW w:w="1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 Exhibits</w:t>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Exhibit Number</w:t>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Exhibit Description</w:t>
            </w:r>
          </w:p>
        </w:tc>
      </w:tr>
      <w:tr>
        <w:trPr/>
        <w:tc>
          <w:tcPr>
            <w:tcW w:w="17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99.1</w:t>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q32026ex991_earningsrelease.htm">
              <w:r>
                <w:rPr>
                  <w:rStyle w:val="InternetLink"/>
                  <w:rFonts w:ascii="Times New Roman;serif" w:hAnsi="Times New Roman;serif"/>
                  <w:b w:val="false"/>
                  <w:color w:val="000080"/>
                  <w:sz w:val="24"/>
                  <w:u w:val="single"/>
                </w:rPr>
                <w:t>Press release dated October 2</w:t>
              </w:r>
            </w:hyperlink>
            <w:hyperlink w:anchor="q32026ex991_earningsrelease.htm">
              <w:r>
                <w:rPr>
                  <w:rStyle w:val="InternetLink"/>
                  <w:rFonts w:ascii="Times New Roman;serif" w:hAnsi="Times New Roman;serif"/>
                  <w:b w:val="false"/>
                  <w:color w:val="000080"/>
                  <w:sz w:val="24"/>
                  <w:u w:val="single"/>
                </w:rPr>
                <w:t>2</w:t>
              </w:r>
            </w:hyperlink>
            <w:hyperlink w:anchor="q32026ex991_earningsrelease.htm">
              <w:r>
                <w:rPr>
                  <w:rStyle w:val="InternetLink"/>
                  <w:rFonts w:ascii="Times New Roman;serif" w:hAnsi="Times New Roman;serif"/>
                  <w:b w:val="false"/>
                  <w:color w:val="000080"/>
                  <w:sz w:val="24"/>
                  <w:u w:val="single"/>
                </w:rPr>
                <w:t>, 2026</w:t>
              </w:r>
            </w:hyperlink>
          </w:p>
        </w:tc>
      </w:tr>
      <w:tr>
        <w:trPr/>
        <w:tc>
          <w:tcPr>
            <w:tcW w:w="1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104</w:t>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Cover Page Interactive Data File (embedded within the Inline XBRL document).</w:t>
            </w:r>
          </w:p>
        </w:tc>
      </w:tr>
      <w:tr>
        <w:trPr/>
        <w:tc>
          <w:tcPr>
            <w:tcW w:w="1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SIGNATURE</w:t>
      </w:r>
    </w:p>
    <w:p>
      <w:pPr>
        <w:pStyle w:val="TextBody"/>
        <w:bidi w:val="0"/>
        <w:spacing w:before="0" w:after="0"/>
        <w:jc w:val="center"/>
        <w:rPr/>
      </w:pPr>
      <w:r>
        <w:rPr/>
      </w:r>
    </w:p>
    <w:p>
      <w:pPr>
        <w:pStyle w:val="TextBody"/>
        <w:bidi w:val="0"/>
        <w:spacing w:lineRule="auto" w:line="288" w:before="0" w:after="0"/>
        <w:ind w:left="0" w:right="0" w:firstLine="480"/>
        <w:jc w:val="left"/>
        <w:rPr>
          <w:rFonts w:ascii="Times New Roman;serif" w:hAnsi="Times New Roman;serif"/>
          <w:b w:val="false"/>
          <w:color w:val="000000"/>
          <w:sz w:val="24"/>
        </w:rPr>
      </w:pPr>
      <w:r>
        <w:rPr>
          <w:rFonts w:ascii="Times New Roman;serif" w:hAnsi="Times New Roman;serif"/>
          <w:b w:val="false"/>
          <w:color w:val="000000"/>
          <w:sz w:val="24"/>
        </w:rPr>
        <w:t>Pursuant to the requirements of the Securities Exchange Act of 1934, the registrant has duly caused this report to be signed on its behalf by the undersigned hereunto duly authorized.</w:t>
      </w:r>
    </w:p>
    <w:tbl>
      <w:tblPr>
        <w:tblW w:w="8758" w:type="dxa"/>
        <w:jc w:val="center"/>
        <w:tblInd w:w="0" w:type="dxa"/>
        <w:tblLayout w:type="fixed"/>
        <w:tblCellMar>
          <w:top w:w="28" w:type="dxa"/>
          <w:left w:w="28" w:type="dxa"/>
          <w:bottom w:w="28" w:type="dxa"/>
          <w:right w:w="28" w:type="dxa"/>
        </w:tblCellMar>
      </w:tblPr>
      <w:tblGrid>
        <w:gridCol w:w="851"/>
        <w:gridCol w:w="750"/>
        <w:gridCol w:w="754"/>
        <w:gridCol w:w="149"/>
        <w:gridCol w:w="149"/>
        <w:gridCol w:w="151"/>
        <w:gridCol w:w="1743"/>
        <w:gridCol w:w="1743"/>
        <w:gridCol w:w="2468"/>
      </w:tblGrid>
      <w:tr>
        <w:trPr/>
        <w:tc>
          <w:tcPr>
            <w:tcW w:w="851"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2468"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NVR, Inc.</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 October 22, 2026</w:t>
            </w:r>
          </w:p>
        </w:tc>
        <w:tc>
          <w:tcPr>
            <w:tcW w:w="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5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Daniel D. Malzahn</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Daniel D. Malzahn</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4"/>
              </w:rPr>
            </w:pPr>
            <w:r>
              <w:rPr>
                <w:rFonts w:ascii="Times New Roman;serif" w:hAnsi="Times New Roman;serif"/>
                <w:b w:val="false"/>
                <w:i/>
                <w:color w:val="000000"/>
                <w:sz w:val="24"/>
              </w:rPr>
              <w:t>Senior Vice President, Chief Financial Officer and Treasurer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1314450" cy="5143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314450" cy="514350"/>
                    </a:xfrm>
                    <a:prstGeom prst="rect">
                      <a:avLst/>
                    </a:prstGeom>
                  </pic:spPr>
                </pic:pic>
              </a:graphicData>
            </a:graphic>
          </wp:inline>
        </w:drawing>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99.1</w:t>
      </w:r>
    </w:p>
    <w:p>
      <w:pPr>
        <w:pStyle w:val="TextBody"/>
        <w:bidi w:val="0"/>
        <w:spacing w:lineRule="auto" w:line="288" w:before="360" w:after="283"/>
        <w:jc w:val="center"/>
        <w:rPr>
          <w:rFonts w:ascii="Times New Roman;serif" w:hAnsi="Times New Roman;serif"/>
          <w:b/>
          <w:color w:val="000000"/>
          <w:sz w:val="22"/>
        </w:rPr>
      </w:pPr>
      <w:r>
        <w:rPr>
          <w:rFonts w:ascii="Times New Roman;serif" w:hAnsi="Times New Roman;serif"/>
          <w:b/>
          <w:color w:val="000000"/>
          <w:sz w:val="22"/>
        </w:rPr>
        <w:t>NVR, INC. ANNOUNCES THIRD QUARTER RESULTS</w:t>
      </w:r>
    </w:p>
    <w:p>
      <w:pPr>
        <w:pStyle w:val="TextBody"/>
        <w:bidi w:val="0"/>
        <w:spacing w:before="360" w:after="283"/>
        <w:jc w:val="center"/>
        <w:rPr/>
      </w:pPr>
      <w:r>
        <w:rPr/>
      </w:r>
    </w:p>
    <w:p>
      <w:pPr>
        <w:pStyle w:val="TextBody"/>
        <w:bidi w:val="0"/>
        <w:spacing w:lineRule="auto" w:line="288" w:before="120" w:after="283"/>
        <w:jc w:val="left"/>
        <w:rPr/>
      </w:pPr>
      <w:r>
        <w:rPr>
          <w:rFonts w:ascii="Times New Roman;serif" w:hAnsi="Times New Roman;serif"/>
          <w:b/>
          <w:color w:val="000000"/>
          <w:sz w:val="22"/>
        </w:rPr>
        <w:t>October 22, 2026, Reston, VA—NVR, Inc. (NYSE: NVR)</w:t>
      </w:r>
      <w:r>
        <w:rPr>
          <w:rFonts w:ascii="Times New Roman;serif" w:hAnsi="Times New Roman;serif"/>
          <w:b w:val="false"/>
          <w:color w:val="000000"/>
          <w:sz w:val="22"/>
        </w:rPr>
        <w:t xml:space="preserve">, one of the nation’s largest homebuilding and mortgage banking companies, announced net income for its third quarter ended September 30, 2026 of $248.6 million, or $89.45 per diluted share. For the third quarter ended September 30, 2026, net income and diluted earnings per share decreased 27% and 20%, respectively, when compared to 2025 third quarter net income of $342.7 million, or $112.33 per diluted share. Consolidated revenues for the third quarter of 2026 totaled $2.40 billion, compared to $2.61 billion in the third quarter of 2025. </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For the nine months ended September 30, 2026, consolidated revenues were $6.61 billion, a 13% decrease from $7.61 billion reported for the same period of 2025. Net income for the nine months ended September 30, 2026 was $683.4 million, a decrease of 30% when compared to net income for the nine months ended September 30, 2025 of $976.0 million. Diluted earnings per share for the nine months ended September 30, 2026 was $240.54, a decrease of 24% from $315.33 per diluted share for the same period of 2025.</w:t>
      </w:r>
    </w:p>
    <w:p>
      <w:pPr>
        <w:pStyle w:val="TextBody"/>
        <w:bidi w:val="0"/>
        <w:spacing w:lineRule="auto" w:line="288" w:before="120" w:after="283"/>
        <w:jc w:val="left"/>
        <w:rPr>
          <w:rFonts w:ascii="Times New Roman;serif" w:hAnsi="Times New Roman;serif"/>
          <w:b/>
          <w:i/>
          <w:color w:val="000000"/>
          <w:sz w:val="22"/>
          <w:u w:val="single"/>
        </w:rPr>
      </w:pPr>
      <w:r>
        <w:rPr>
          <w:rFonts w:ascii="Times New Roman;serif" w:hAnsi="Times New Roman;serif"/>
          <w:b/>
          <w:i/>
          <w:color w:val="000000"/>
          <w:sz w:val="22"/>
          <w:u w:val="single"/>
        </w:rPr>
        <w:t>Homebuilding</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New orders in the third quarter of 2026 decreased by 7% to 4,391 units, when compared to 4,735 units in the third quarter of 2025. The average sales price of new orders in the third quarter of 2026 was $442,100, a decrease of 5% when compared to the third quarter of 2025. The cancellation rate in the third quarter of 2026 was 21% compared to 19% in the third quarter of 2025. Settlements in the third quarter of 2026 decreased by 7% to 5,268 units, compared to 5,639 units in the third quarter of 2025. The average settlement price in the third quarter of 2026 was $445,900, a decrease of 2% when compared to the third quarter of 2025. Our backlog of homes sold but not settled as of September 30, 2026 increased on a unit basis by 10% to 10,121 units and increased on a dollar basis by 4% to $4.59 billion when compared to the respective backlog unit and dollar balances as of September 30, 2025.</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Homebuilding revenues of $2.35 billion in the third quarter of 2026 decreased by 8% compared to homebuilding revenues of $2.56 billion in the third quarter of 2025. Gross profit margin in the third quarter of 2026 decreased to 18.3%, from 21.0% in the third quarter of 2025. Gross profit margin was negatively impacted by higher lot costs, pricing pressure due to continued affordability challenges and weak consumer sentiment, and by contract land deposit impairments totaling approximately $24.8 million. Income before tax from the homebuilding segment totaled $299.7 million in the third quarter of 2026, a decrease of 27% when compared to the third quarter of 2025.</w:t>
      </w:r>
    </w:p>
    <w:p>
      <w:pPr>
        <w:pStyle w:val="TextBody"/>
        <w:bidi w:val="0"/>
        <w:spacing w:lineRule="auto" w:line="288" w:before="120" w:after="283"/>
        <w:jc w:val="left"/>
        <w:rPr>
          <w:rFonts w:ascii="Times New Roman;serif" w:hAnsi="Times New Roman;serif"/>
          <w:b/>
          <w:i/>
          <w:color w:val="000000"/>
          <w:sz w:val="22"/>
          <w:u w:val="single"/>
        </w:rPr>
      </w:pPr>
      <w:r>
        <w:rPr>
          <w:rFonts w:ascii="Times New Roman;serif" w:hAnsi="Times New Roman;serif"/>
          <w:b/>
          <w:i/>
          <w:color w:val="000000"/>
          <w:sz w:val="22"/>
          <w:u w:val="single"/>
        </w:rPr>
        <w:t>Mortgage Banking</w:t>
      </w:r>
    </w:p>
    <w:p>
      <w:pPr>
        <w:pStyle w:val="TextBody"/>
        <w:bidi w:val="0"/>
        <w:spacing w:lineRule="auto" w:line="268" w:before="12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Mortgage closed loan production in the third quarter of 2026 totaled $1.38 billion, a decrease of 10% when compared to the third quarter of 2025. Income before tax from the mortgage banking segment totaled $35.0 million in the third quarter of 2026, an increase of 7% when compared to $32.7 million in the third quarter of 2025. </w:t>
      </w:r>
    </w:p>
    <w:p>
      <w:pPr>
        <w:pStyle w:val="TextBody"/>
        <w:bidi w:val="0"/>
        <w:spacing w:before="120" w:after="283"/>
        <w:jc w:val="left"/>
        <w:rPr/>
      </w:pPr>
      <w:r>
        <w:rPr/>
      </w:r>
    </w:p>
    <w:p>
      <w:pPr>
        <w:pStyle w:val="TextBody"/>
        <w:bidi w:val="0"/>
        <w:spacing w:lineRule="auto" w:line="256" w:before="120" w:after="283"/>
        <w:jc w:val="left"/>
        <w:rPr>
          <w:rFonts w:ascii="Times New Roman;serif" w:hAnsi="Times New Roman;serif"/>
          <w:b/>
          <w:i/>
          <w:color w:val="000000"/>
          <w:sz w:val="22"/>
          <w:u w:val="single"/>
        </w:rPr>
      </w:pPr>
      <w:r>
        <w:rPr>
          <w:rFonts w:ascii="Times New Roman;serif" w:hAnsi="Times New Roman;serif"/>
          <w:b/>
          <w:i/>
          <w:color w:val="000000"/>
          <w:sz w:val="22"/>
          <w:u w:val="single"/>
        </w:rPr>
        <w:t>About NVR</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NVR, Inc. operates in two business segments: homebuilding and mortgage banking. The homebuilding segment sells and builds homes under the Ryan Homes, NVHomes and Heartland Homes trade names, and operates in thirty-seven metropolitan areas in sixteen states and Washington, D.C. For more information about NVR, Inc. and its brands, see www.nvrinc.com, www.ryanhomes.com, www.nvhomes.com and www.heartlandluxuryhomes.com.</w:t>
      </w:r>
    </w:p>
    <w:p>
      <w:pPr>
        <w:pStyle w:val="TextBody"/>
        <w:bidi w:val="0"/>
        <w:spacing w:lineRule="auto" w:line="288" w:before="120" w:after="283"/>
        <w:jc w:val="left"/>
        <w:rPr>
          <w:rFonts w:ascii="Times New Roman;serif" w:hAnsi="Times New Roman;serif"/>
          <w:b w:val="false"/>
          <w:color w:val="000000"/>
          <w:sz w:val="22"/>
        </w:rPr>
      </w:pPr>
      <w:r>
        <w:rPr>
          <w:rFonts w:ascii="Times New Roman;serif" w:hAnsi="Times New Roman;serif"/>
          <w:b w:val="false"/>
          <w:color w:val="000000"/>
          <w:sz w:val="22"/>
        </w:rPr>
        <w:t xml:space="preserve">Some of the statements in this release made by the Company constitute “forward-looking statements” within the meaning of the Private Securities Litigation Reform Act of 1995, Section 27A of the Securities Act of 1933, as amended, and Section 21E of the Securities Exchange Act of 1934, as amended. Certain, but not necessarily all, of such forward-looking statements can be identified by the use of forward-looking terminology, such as “believes,” “expects,” “may,”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60655"/>
                <wp:effectExtent l="0" t="0" r="0" b="0"/>
                <wp:wrapNone/>
                <wp:docPr id="5" name="Frame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xbxContent>
                </v:textbox>
                <w10:wrap type="none"/>
              </v:rect>
            </w:pict>
          </mc:Fallback>
        </mc:AlternateContent>
      </w:r>
    </w:p>
    <w:p>
      <w:pPr>
        <w:pStyle w:val="TextBody"/>
        <w:bidi w:val="0"/>
        <w:spacing w:lineRule="auto" w:line="288" w:before="120" w:after="283"/>
        <w:jc w:val="left"/>
        <w:rPr>
          <w:color w:val="000000"/>
        </w:rPr>
      </w:pPr>
      <w:r>
        <w:rPr>
          <w:color w:val="000000"/>
        </w:rPr>
        <w:t>“</w:t>
      </w:r>
      <w:r>
        <w:rPr>
          <w:rFonts w:ascii="Times New Roman;serif" w:hAnsi="Times New Roman;serif"/>
          <w:b w:val="false"/>
          <w:color w:val="000000"/>
          <w:sz w:val="22"/>
        </w:rPr>
        <w:t>will,” “should,” "could," or “anticipates” or the negative thereof or other comparable terminology. All statements other than of historical facts are forward-looking statements. Forward-looking statements contained in this document may include those regarding market trends, NVR’s financial position and financial results, business strategy, the outcome of pending litigation, investigations or similar contingencies, and projected plans and objectives of management for future operations. Such forward-looking statements involve known and unknown risks, uncertainties and other factors that may cause the actual results or performance of NVR to be materially different from future results, performance or achievements expressed or implied by the forward-looking statements. Such risk factors include, but are not limited to the following: general economic and business conditions (on both a national and regional level); interest rate changes; access to suitable financing by NVR and NVR’s customers; increased regulation in the mortgage banking industry; the ability of our mortgage banking subsidiary to sell loans it originates into the secondary market; competition; the availability and cost of land and other raw materials used by NVR in its homebuilding operations; shortages of labor; the economic impact of a major epidemic or pandemic; weather related slow-downs; building moratoriums; governmental regulation; fluctuation and volatility of stock and other financial markets; mortgage financing availability; and other factors over which NVR has little or no control. NVR undertakes no obligation to update such forward-looking statements except as required by law.</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60655"/>
                <wp:effectExtent l="0" t="0" r="0" b="0"/>
                <wp:wrapNone/>
                <wp:docPr id="6" name="Frame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NVR, Inc.</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Consolidated Statements of Income</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 thousands, except per share data)</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325"/>
        <w:gridCol w:w="1170"/>
        <w:gridCol w:w="1172"/>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5"/>
      </w:tblGrid>
      <w:tr>
        <w:trPr/>
        <w:tc>
          <w:tcPr>
            <w:tcW w:w="1325"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3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Homebuilding: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2,349,284 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2,560,343 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6,463,934 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7,459,055 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73,800 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(1,920,068)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(2,021,398)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(5,235,824)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(5,856,756)</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(142,736)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(442,709)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(457,023)</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(20,244)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(20,721)</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Homebuilding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299,716 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411,354 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817,510 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1,198,355 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Mortgage Banking: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banking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152,296 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(23,470)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(22,397)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(72,750)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(73,515)</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banking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34,972 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32,719 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87,513 </w:t>
            </w:r>
          </w:p>
        </w:tc>
        <w:tc>
          <w:tcPr>
            <w:tcW w:w="10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94,855 </w:t>
            </w:r>
          </w:p>
        </w:tc>
        <w:tc>
          <w:tcPr>
            <w:tcW w:w="15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Income before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334,688 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444,073 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905,023 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1,293,210 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(86,083)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(101,385)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(221,601)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(317,209)</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Net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248,605 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342,688 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683,422 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976,001 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Basic earnings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333.86 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Diluted earnings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315.33 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Basic weighted average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Diluted weighted average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2,779 </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3,051 </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2,841 </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3,095 </w:t>
            </w:r>
          </w:p>
        </w:tc>
        <w:tc>
          <w:tcPr>
            <w:tcW w:w="155"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60655"/>
                <wp:effectExtent l="0" t="0" r="0" b="0"/>
                <wp:wrapNone/>
                <wp:docPr id="7" name="Frame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tbl>
      <w:tblPr>
        <w:tblW w:w="9728" w:type="dxa"/>
        <w:jc w:val="center"/>
        <w:tblInd w:w="0" w:type="dxa"/>
        <w:tblLayout w:type="fixed"/>
        <w:tblCellMar>
          <w:top w:w="28" w:type="dxa"/>
          <w:left w:w="28" w:type="dxa"/>
          <w:bottom w:w="28" w:type="dxa"/>
          <w:right w:w="28" w:type="dxa"/>
        </w:tblCellMar>
      </w:tblPr>
      <w:tblGrid>
        <w:gridCol w:w="2122"/>
        <w:gridCol w:w="1870"/>
        <w:gridCol w:w="1888"/>
        <w:gridCol w:w="109"/>
        <w:gridCol w:w="109"/>
        <w:gridCol w:w="109"/>
        <w:gridCol w:w="261"/>
        <w:gridCol w:w="1209"/>
        <w:gridCol w:w="135"/>
        <w:gridCol w:w="109"/>
        <w:gridCol w:w="109"/>
        <w:gridCol w:w="109"/>
        <w:gridCol w:w="250"/>
        <w:gridCol w:w="1157"/>
        <w:gridCol w:w="182"/>
      </w:tblGrid>
      <w:tr>
        <w:trPr/>
        <w:tc>
          <w:tcPr>
            <w:tcW w:w="2122"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97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NVR, Inc.</w:t>
            </w:r>
          </w:p>
        </w:tc>
      </w:tr>
      <w:tr>
        <w:trPr/>
        <w:tc>
          <w:tcPr>
            <w:tcW w:w="97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Consolidated Balance Sheets</w:t>
            </w:r>
          </w:p>
        </w:tc>
      </w:tr>
      <w:tr>
        <w:trPr/>
        <w:tc>
          <w:tcPr>
            <w:tcW w:w="97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 thousands, except share and per share data)</w:t>
            </w:r>
          </w:p>
        </w:tc>
      </w:tr>
      <w:tr>
        <w:trPr/>
        <w:tc>
          <w:tcPr>
            <w:tcW w:w="972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r>
        <w:trPr/>
        <w:tc>
          <w:tcPr>
            <w:tcW w:w="5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5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Homebuilding: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1,091,315 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1,883,844 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37,549 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34,348 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54,560 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32,742 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Lots and housing units, covered under sales agreements with customers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1,941,337 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1,410,695 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Unsold lots and housing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384,837 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252,029 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under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21,792 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39,312 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 materials 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24,821 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21,524 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2,372,787 </w:t>
            </w:r>
          </w:p>
        </w:tc>
        <w:tc>
          <w:tcPr>
            <w:tcW w:w="13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1,723,560 </w:t>
            </w:r>
          </w:p>
        </w:tc>
        <w:tc>
          <w:tcPr>
            <w:tcW w:w="18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land deposits,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916,747 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851,458 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109,860 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103,770 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120,701 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110,535 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359,355 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349,306 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5,062,874 </w:t>
            </w:r>
          </w:p>
        </w:tc>
        <w:tc>
          <w:tcPr>
            <w:tcW w:w="13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5,089,563 </w:t>
            </w:r>
          </w:p>
        </w:tc>
        <w:tc>
          <w:tcPr>
            <w:tcW w:w="18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Mortgage Banking: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34,071 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32,642 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6,596 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6,047 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loans held for sale,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346,874 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571,596 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7,256 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7,727 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21,741 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23,953 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86,538 </w:t>
            </w:r>
          </w:p>
        </w:tc>
        <w:tc>
          <w:tcPr>
            <w:tcW w:w="1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125,402 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503,076 </w:t>
            </w:r>
          </w:p>
        </w:tc>
        <w:tc>
          <w:tcPr>
            <w:tcW w:w="13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767,367 </w:t>
            </w:r>
          </w:p>
        </w:tc>
        <w:tc>
          <w:tcPr>
            <w:tcW w:w="18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0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5,565,950 </w:t>
            </w:r>
          </w:p>
        </w:tc>
        <w:tc>
          <w:tcPr>
            <w:tcW w:w="135"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7"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5,856,930 </w:t>
            </w:r>
          </w:p>
        </w:tc>
        <w:tc>
          <w:tcPr>
            <w:tcW w:w="182"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60655"/>
                <wp:effectExtent l="0" t="0" r="0" b="0"/>
                <wp:wrapNone/>
                <wp:docPr id="8" name="Frame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394"/>
        <w:gridCol w:w="2105"/>
        <w:gridCol w:w="2110"/>
        <w:gridCol w:w="114"/>
        <w:gridCol w:w="114"/>
        <w:gridCol w:w="114"/>
        <w:gridCol w:w="235"/>
        <w:gridCol w:w="1088"/>
        <w:gridCol w:w="121"/>
        <w:gridCol w:w="114"/>
        <w:gridCol w:w="114"/>
        <w:gridCol w:w="114"/>
        <w:gridCol w:w="229"/>
        <w:gridCol w:w="1063"/>
        <w:gridCol w:w="176"/>
      </w:tblGrid>
      <w:tr>
        <w:trPr/>
        <w:tc>
          <w:tcPr>
            <w:tcW w:w="2394"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c>
          <w:tcPr>
            <w:tcW w:w="211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NVR, Inc.</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Consolidated Balance Sheets (Continued)</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 thousands, except share and per share data)</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r>
        <w:trPr/>
        <w:tc>
          <w:tcPr>
            <w:tcW w:w="6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2026</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6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SHAREHOLDERS' EQUITY</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Homebuilding:</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365,207 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259,244 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306,013 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376,976 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deposits</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285,364 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249,210 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136,289 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117,589 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notes</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907,659 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909,160 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2,000,532 </w:t>
            </w:r>
          </w:p>
        </w:tc>
        <w:tc>
          <w:tcPr>
            <w:tcW w:w="12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1,912,179 </w:t>
            </w:r>
          </w:p>
        </w:tc>
        <w:tc>
          <w:tcPr>
            <w:tcW w:w="17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Mortgage Banking:</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other liabilities</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106,690 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53,738 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23,735 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26,144 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130,425 </w:t>
            </w:r>
          </w:p>
        </w:tc>
        <w:tc>
          <w:tcPr>
            <w:tcW w:w="12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79,882 </w:t>
            </w:r>
          </w:p>
        </w:tc>
        <w:tc>
          <w:tcPr>
            <w:tcW w:w="17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2,130,957 </w:t>
            </w:r>
          </w:p>
        </w:tc>
        <w:tc>
          <w:tcPr>
            <w:tcW w:w="12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1,992,061 </w:t>
            </w:r>
          </w:p>
        </w:tc>
        <w:tc>
          <w:tcPr>
            <w:tcW w:w="17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Commitments and contingencies</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Shareholders' equity:</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$0.01 par value; 60,000,000 shares authorized; 20,555,330 shares issued as of both September 30, 2026 and December 31, 2025</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3,255,240 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3,155,367 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trust – 106,697 shares of NVR, Inc. common stock as of both September 30, 2026 and December 31, 2025</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(16,710)</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(16,710)</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liability</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16,710 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16,710 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17,070,191 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16,386,769 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treasury stock at cost – 17,911,054 and 17,755,943 shares as of September 30, 2026 and December 31, 2025, respectively</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(16,890,644)</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(15,677,473)</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shareholders' equity</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3,434,993 </w:t>
            </w:r>
          </w:p>
        </w:tc>
        <w:tc>
          <w:tcPr>
            <w:tcW w:w="12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3,864,869 </w:t>
            </w:r>
          </w:p>
        </w:tc>
        <w:tc>
          <w:tcPr>
            <w:tcW w:w="17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shareholders' equity</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8"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5,565,950 </w:t>
            </w:r>
          </w:p>
        </w:tc>
        <w:tc>
          <w:tcPr>
            <w:tcW w:w="121"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3"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5,856,930 </w:t>
            </w:r>
          </w:p>
        </w:tc>
        <w:tc>
          <w:tcPr>
            <w:tcW w:w="17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60655"/>
                <wp:effectExtent l="0" t="0" r="0" b="0"/>
                <wp:wrapNone/>
                <wp:docPr id="9" name="Frame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462"/>
        <w:gridCol w:w="336"/>
        <w:gridCol w:w="220"/>
        <w:gridCol w:w="137"/>
        <w:gridCol w:w="137"/>
        <w:gridCol w:w="137"/>
        <w:gridCol w:w="220"/>
        <w:gridCol w:w="208"/>
        <w:gridCol w:w="209"/>
        <w:gridCol w:w="109"/>
        <w:gridCol w:w="109"/>
        <w:gridCol w:w="109"/>
        <w:gridCol w:w="208"/>
        <w:gridCol w:w="592"/>
        <w:gridCol w:w="115"/>
        <w:gridCol w:w="109"/>
        <w:gridCol w:w="109"/>
        <w:gridCol w:w="109"/>
        <w:gridCol w:w="169"/>
        <w:gridCol w:w="169"/>
        <w:gridCol w:w="173"/>
        <w:gridCol w:w="109"/>
        <w:gridCol w:w="109"/>
        <w:gridCol w:w="109"/>
        <w:gridCol w:w="208"/>
        <w:gridCol w:w="592"/>
        <w:gridCol w:w="115"/>
        <w:gridCol w:w="109"/>
        <w:gridCol w:w="109"/>
        <w:gridCol w:w="109"/>
        <w:gridCol w:w="323"/>
        <w:gridCol w:w="323"/>
        <w:gridCol w:w="166"/>
        <w:gridCol w:w="109"/>
        <w:gridCol w:w="109"/>
        <w:gridCol w:w="109"/>
        <w:gridCol w:w="208"/>
        <w:gridCol w:w="592"/>
        <w:gridCol w:w="115"/>
        <w:gridCol w:w="109"/>
        <w:gridCol w:w="109"/>
        <w:gridCol w:w="109"/>
        <w:gridCol w:w="323"/>
        <w:gridCol w:w="323"/>
        <w:gridCol w:w="166"/>
        <w:gridCol w:w="109"/>
        <w:gridCol w:w="109"/>
        <w:gridCol w:w="109"/>
        <w:gridCol w:w="208"/>
        <w:gridCol w:w="590"/>
        <w:gridCol w:w="172"/>
      </w:tblGrid>
      <w:tr>
        <w:trPr/>
        <w:tc>
          <w:tcPr>
            <w:tcW w:w="462"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0205"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NVR, Inc.</w:t>
            </w:r>
          </w:p>
        </w:tc>
      </w:tr>
      <w:tr>
        <w:trPr/>
        <w:tc>
          <w:tcPr>
            <w:tcW w:w="10205"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Operating Activity</w:t>
            </w:r>
          </w:p>
        </w:tc>
      </w:tr>
      <w:tr>
        <w:trPr/>
        <w:tc>
          <w:tcPr>
            <w:tcW w:w="10205"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(dollars in thousands)</w:t>
            </w:r>
          </w:p>
        </w:tc>
      </w:tr>
      <w:tr>
        <w:trPr/>
        <w:tc>
          <w:tcPr>
            <w:tcW w:w="10205"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r>
        <w:trPr/>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1018"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Average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Average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Average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Average Price</w:t>
            </w:r>
          </w:p>
        </w:tc>
      </w:tr>
      <w:tr>
        <w:trPr/>
        <w:tc>
          <w:tcPr>
            <w:tcW w:w="2066"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8"/>
              </w:rPr>
            </w:pPr>
            <w:r>
              <w:rPr>
                <w:rFonts w:ascii="Times New Roman;serif" w:hAnsi="Times New Roman;serif"/>
                <w:b/>
                <w:i/>
                <w:color w:val="000000"/>
                <w:sz w:val="18"/>
              </w:rPr>
              <w:t>New orders, net of cancellations: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Mid Atlantic (1)</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499.0 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529.7 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5,639 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499.1 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5,510 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525.1 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North East (2)</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733.2 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647.1 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1,091 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647.5 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1,234 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664.6 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Mid East (3)</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417.7 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431.9 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3,260 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421.0 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3,101 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425.0 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South East (4)</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356.7 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368.6 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6,024 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356.2 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5,614 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361.8 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442.1 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464.8 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16,014 </w:t>
            </w:r>
          </w:p>
        </w:tc>
        <w:tc>
          <w:tcPr>
            <w:tcW w:w="16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439.6 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15,459 </w:t>
            </w:r>
          </w:p>
        </w:tc>
        <w:tc>
          <w:tcPr>
            <w:tcW w:w="16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456.8 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Average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Average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Average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Average Price</w:t>
            </w:r>
          </w:p>
        </w:tc>
      </w:tr>
      <w:tr>
        <w:trPr/>
        <w:tc>
          <w:tcPr>
            <w:tcW w:w="101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8"/>
              </w:rPr>
            </w:pPr>
            <w:r>
              <w:rPr>
                <w:rFonts w:ascii="Times New Roman;serif" w:hAnsi="Times New Roman;serif"/>
                <w:b/>
                <w:i/>
                <w:color w:val="000000"/>
                <w:sz w:val="18"/>
              </w:rPr>
              <w:t>Settlements:</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Mid Atlantic (1)</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501.4 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517.9 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4,925 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510.2 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6,159 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527.8 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North East (2)</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603.7 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694.6 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1,295 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624.9 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1,365 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651.7 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Mid East (3)</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432.5 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423.8 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2,868 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430.7 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3,295 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416.1 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South East (4)</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362.6 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357.9 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5,253 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362.9 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5,428 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358.8 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445.9 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454.0 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14,341 </w:t>
            </w:r>
          </w:p>
        </w:tc>
        <w:tc>
          <w:tcPr>
            <w:tcW w:w="16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450.7 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16,247 </w:t>
            </w:r>
          </w:p>
        </w:tc>
        <w:tc>
          <w:tcPr>
            <w:tcW w:w="16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459.1 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284" w:type="dxa"/>
        <w:jc w:val="center"/>
        <w:tblInd w:w="0" w:type="dxa"/>
        <w:tblLayout w:type="fixed"/>
        <w:tblCellMar>
          <w:top w:w="28" w:type="dxa"/>
          <w:left w:w="28" w:type="dxa"/>
          <w:bottom w:w="28" w:type="dxa"/>
          <w:right w:w="28" w:type="dxa"/>
        </w:tblCellMar>
      </w:tblPr>
      <w:tblGrid>
        <w:gridCol w:w="461"/>
        <w:gridCol w:w="405"/>
        <w:gridCol w:w="408"/>
        <w:gridCol w:w="109"/>
        <w:gridCol w:w="109"/>
        <w:gridCol w:w="109"/>
        <w:gridCol w:w="198"/>
        <w:gridCol w:w="198"/>
        <w:gridCol w:w="205"/>
        <w:gridCol w:w="109"/>
        <w:gridCol w:w="109"/>
        <w:gridCol w:w="109"/>
        <w:gridCol w:w="252"/>
        <w:gridCol w:w="717"/>
        <w:gridCol w:w="140"/>
        <w:gridCol w:w="109"/>
        <w:gridCol w:w="109"/>
        <w:gridCol w:w="109"/>
        <w:gridCol w:w="169"/>
        <w:gridCol w:w="169"/>
        <w:gridCol w:w="173"/>
        <w:gridCol w:w="109"/>
        <w:gridCol w:w="109"/>
        <w:gridCol w:w="109"/>
        <w:gridCol w:w="252"/>
        <w:gridCol w:w="717"/>
        <w:gridCol w:w="140"/>
        <w:gridCol w:w="109"/>
        <w:gridCol w:w="109"/>
        <w:gridCol w:w="154"/>
      </w:tblGrid>
      <w:tr>
        <w:trPr/>
        <w:tc>
          <w:tcPr>
            <w:tcW w:w="46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September 30,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Average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Average Price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8"/>
              </w:rPr>
            </w:pPr>
            <w:r>
              <w:rPr>
                <w:rFonts w:ascii="Times New Roman;serif" w:hAnsi="Times New Roman;serif"/>
                <w:b/>
                <w:i/>
                <w:color w:val="000000"/>
                <w:sz w:val="18"/>
              </w:rPr>
              <w:t>Backlog: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Mid Atlantic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508.6 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539.7 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North East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681.3 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676.0 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Mid East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419.1 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431.3 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South East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359.7 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379.1 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453.0 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479.5 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60655"/>
                <wp:effectExtent l="0" t="0" r="0" b="0"/>
                <wp:wrapNone/>
                <wp:docPr id="10" name="Frame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tbl>
      <w:tblPr>
        <w:tblW w:w="10014" w:type="dxa"/>
        <w:jc w:val="center"/>
        <w:tblInd w:w="0" w:type="dxa"/>
        <w:tblLayout w:type="fixed"/>
        <w:tblCellMar>
          <w:top w:w="28" w:type="dxa"/>
          <w:left w:w="28" w:type="dxa"/>
          <w:bottom w:w="28" w:type="dxa"/>
          <w:right w:w="28" w:type="dxa"/>
        </w:tblCellMar>
      </w:tblPr>
      <w:tblGrid>
        <w:gridCol w:w="1006"/>
        <w:gridCol w:w="882"/>
        <w:gridCol w:w="887"/>
        <w:gridCol w:w="109"/>
        <w:gridCol w:w="109"/>
        <w:gridCol w:w="109"/>
        <w:gridCol w:w="404"/>
        <w:gridCol w:w="267"/>
        <w:gridCol w:w="664"/>
        <w:gridCol w:w="209"/>
        <w:gridCol w:w="209"/>
        <w:gridCol w:w="209"/>
        <w:gridCol w:w="404"/>
        <w:gridCol w:w="267"/>
        <w:gridCol w:w="664"/>
        <w:gridCol w:w="109"/>
        <w:gridCol w:w="109"/>
        <w:gridCol w:w="109"/>
        <w:gridCol w:w="211"/>
        <w:gridCol w:w="976"/>
        <w:gridCol w:w="271"/>
        <w:gridCol w:w="109"/>
        <w:gridCol w:w="109"/>
        <w:gridCol w:w="109"/>
        <w:gridCol w:w="211"/>
        <w:gridCol w:w="976"/>
        <w:gridCol w:w="316"/>
      </w:tblGrid>
      <w:tr>
        <w:trPr/>
        <w:tc>
          <w:tcPr>
            <w:tcW w:w="1006"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001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NVR, Inc.</w:t>
            </w:r>
          </w:p>
        </w:tc>
      </w:tr>
      <w:tr>
        <w:trPr/>
        <w:tc>
          <w:tcPr>
            <w:tcW w:w="1001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Operating Activity (Continued)</w:t>
            </w:r>
          </w:p>
        </w:tc>
      </w:tr>
      <w:tr>
        <w:trPr/>
        <w:tc>
          <w:tcPr>
            <w:tcW w:w="1001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(dollars in thousands)</w:t>
            </w:r>
          </w:p>
        </w:tc>
      </w:tr>
      <w:tr>
        <w:trPr/>
        <w:tc>
          <w:tcPr>
            <w:tcW w:w="1001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6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Average active communities: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Mid Atlantic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North East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Mid East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w:t>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South East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w:t>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w:t>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w:t>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September 30,</w:t>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6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Homebuilding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New order cancellation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66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w:t>
            </w:r>
          </w:p>
        </w:tc>
        <w:tc>
          <w:tcPr>
            <w:tcW w:w="66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Lots controlled at end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185,300 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175,300 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8"/>
              </w:rPr>
            </w:pPr>
            <w:r>
              <w:rPr>
                <w:rFonts w:ascii="Times New Roman;serif" w:hAnsi="Times New Roman;serif"/>
                <w:b/>
                <w:i/>
                <w:color w:val="000000"/>
                <w:sz w:val="18"/>
              </w:rPr>
              <w:t>Mortgage banking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Loan closings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1,381,742</w:t>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1,539,781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3,789,439 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4,527,982 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Capture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66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66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27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31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8"/>
              </w:rPr>
            </w:pPr>
            <w:r>
              <w:rPr>
                <w:rFonts w:ascii="Times New Roman;serif" w:hAnsi="Times New Roman;serif"/>
                <w:b/>
                <w:i/>
                <w:color w:val="000000"/>
                <w:sz w:val="18"/>
              </w:rPr>
              <w:t>Common stock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Shares outstanding at end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2,644,276 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2,860,899 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Number of shares repurchased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37,088</w:t>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181,984 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178,178 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Aggregate cost of shares repurchased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237,218</w:t>
            </w:r>
          </w:p>
        </w:tc>
        <w:tc>
          <w:tcPr>
            <w:tcW w:w="6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276,405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1,226,951 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1,331,212 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5831" w:type="dxa"/>
        <w:jc w:val="center"/>
        <w:tblInd w:w="0" w:type="dxa"/>
        <w:tblLayout w:type="fixed"/>
        <w:tblCellMar>
          <w:top w:w="28" w:type="dxa"/>
          <w:left w:w="28" w:type="dxa"/>
          <w:bottom w:w="28" w:type="dxa"/>
          <w:right w:w="28" w:type="dxa"/>
        </w:tblCellMar>
      </w:tblPr>
      <w:tblGrid>
        <w:gridCol w:w="124"/>
        <w:gridCol w:w="109"/>
        <w:gridCol w:w="109"/>
        <w:gridCol w:w="1603"/>
        <w:gridCol w:w="1603"/>
        <w:gridCol w:w="22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22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w:t>
            </w:r>
          </w:p>
        </w:tc>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Maryland, Virginia, West Virginia, Delaware and Washington, D.C.</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w:t>
            </w:r>
          </w:p>
        </w:tc>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New Jersey and Eastern Pennsylvania</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w:t>
            </w:r>
          </w:p>
        </w:tc>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New York, Ohio, Western Pennsylvania, Indiana and Illinois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w:t>
            </w:r>
          </w:p>
        </w:tc>
        <w:tc>
          <w:tcPr>
            <w:tcW w:w="54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North Carolina, South Carolina, Tennessee, Florida, Georgia and Kentucky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Investor Relations Contact:</w:t>
            </w:r>
          </w:p>
        </w:tc>
      </w:tr>
      <w:tr>
        <w:trPr/>
        <w:tc>
          <w:tcPr>
            <w:tcW w:w="583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Ryan Sheplee</w:t>
            </w:r>
          </w:p>
        </w:tc>
      </w:tr>
      <w:tr>
        <w:trPr/>
        <w:tc>
          <w:tcPr>
            <w:tcW w:w="583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(703) 956-4243</w:t>
            </w:r>
          </w:p>
        </w:tc>
      </w:tr>
      <w:tr>
        <w:trPr/>
        <w:tc>
          <w:tcPr>
            <w:tcW w:w="583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FF"/>
                <w:sz w:val="18"/>
                <w:u w:val="single"/>
              </w:rPr>
            </w:pPr>
            <w:r>
              <w:rPr>
                <w:rFonts w:ascii="Times New Roman;serif" w:hAnsi="Times New Roman;serif"/>
                <w:b w:val="false"/>
                <w:color w:val="0000FF"/>
                <w:sz w:val="18"/>
                <w:u w:val="single"/>
              </w:rPr>
              <w:t>ir@nvrinc.com</w:t>
            </w:r>
          </w:p>
        </w:tc>
      </w:tr>
    </w:tbl>
    <w:p>
      <w:pPr>
        <w:pStyle w:val="TextBody"/>
        <w:bidi w:val="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60655"/>
                <wp:effectExtent l="0" t="0" r="0" b="0"/>
                <wp:wrapNone/>
                <wp:docPr id="11" name="Frame1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2323</Words>
  <Characters>12638</Characters>
  <CharactersWithSpaces>14519</CharactersWithSpaces>
  <Paragraphs>661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