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w:t>
      </w:r>
      <w:r>
        <w:rPr>
          <w:color w:val="000000"/>
        </w:rPr>
        <w:t>  </w:t>
      </w:r>
      <w:r>
        <w:rPr>
          <w:rFonts w:ascii="Times New Roman;serif" w:hAnsi="Times New Roman;serif"/>
          <w:b/>
          <w:color w:val="000000"/>
          <w:sz w:val="20"/>
        </w:rPr>
        <w:t>July 23,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NVR,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486" w:type="dxa"/>
        <w:jc w:val="center"/>
        <w:tblInd w:w="0" w:type="dxa"/>
        <w:tblLayout w:type="fixed"/>
        <w:tblCellMar>
          <w:top w:w="28" w:type="dxa"/>
          <w:left w:w="28" w:type="dxa"/>
          <w:bottom w:w="28" w:type="dxa"/>
          <w:right w:w="28" w:type="dxa"/>
        </w:tblCellMar>
      </w:tblPr>
      <w:tblGrid>
        <w:gridCol w:w="710"/>
        <w:gridCol w:w="623"/>
        <w:gridCol w:w="632"/>
        <w:gridCol w:w="354"/>
        <w:gridCol w:w="354"/>
        <w:gridCol w:w="358"/>
        <w:gridCol w:w="426"/>
        <w:gridCol w:w="426"/>
        <w:gridCol w:w="603"/>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Virginia</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1-12378</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54-1394360</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11700 Plaza America Drive, Suite 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Reston, Virginia 20190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color w:val="000000"/>
          <w:sz w:val="20"/>
        </w:rPr>
        <w:t>703) 956-4000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9051" w:type="dxa"/>
        <w:jc w:val="center"/>
        <w:tblInd w:w="0" w:type="dxa"/>
        <w:tblLayout w:type="fixed"/>
        <w:tblCellMar>
          <w:top w:w="28" w:type="dxa"/>
          <w:left w:w="28" w:type="dxa"/>
          <w:bottom w:w="28" w:type="dxa"/>
          <w:right w:w="28" w:type="dxa"/>
        </w:tblCellMar>
      </w:tblPr>
      <w:tblGrid>
        <w:gridCol w:w="1312"/>
        <w:gridCol w:w="1151"/>
        <w:gridCol w:w="1166"/>
        <w:gridCol w:w="109"/>
        <w:gridCol w:w="109"/>
        <w:gridCol w:w="109"/>
        <w:gridCol w:w="484"/>
        <w:gridCol w:w="484"/>
        <w:gridCol w:w="486"/>
        <w:gridCol w:w="109"/>
        <w:gridCol w:w="109"/>
        <w:gridCol w:w="109"/>
        <w:gridCol w:w="970"/>
        <w:gridCol w:w="970"/>
        <w:gridCol w:w="1374"/>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NVR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2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4"/>
        <w:gridCol w:w="1517"/>
        <w:gridCol w:w="1517"/>
        <w:gridCol w:w="1517"/>
        <w:gridCol w:w="1517"/>
        <w:gridCol w:w="2183"/>
      </w:tblGrid>
      <w:tr>
        <w:trPr/>
        <w:tc>
          <w:tcPr>
            <w:tcW w:w="195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Rule405 of the Securities Act of 1933 (§230.405 of this chapter) or Rule12b-2 of the Securities Exchange Act of 1934 (§240.12b-2 of this chapter).</w:t>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Section13(a)of the Exchange Act.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39" w:type="dxa"/>
        <w:jc w:val="center"/>
        <w:tblInd w:w="0" w:type="dxa"/>
        <w:tblLayout w:type="fixed"/>
        <w:tblCellMar>
          <w:top w:w="28" w:type="dxa"/>
          <w:left w:w="28" w:type="dxa"/>
          <w:bottom w:w="28" w:type="dxa"/>
          <w:right w:w="28" w:type="dxa"/>
        </w:tblCellMar>
      </w:tblPr>
      <w:tblGrid>
        <w:gridCol w:w="704"/>
        <w:gridCol w:w="621"/>
        <w:gridCol w:w="621"/>
        <w:gridCol w:w="621"/>
        <w:gridCol w:w="621"/>
        <w:gridCol w:w="621"/>
        <w:gridCol w:w="621"/>
        <w:gridCol w:w="621"/>
        <w:gridCol w:w="888"/>
      </w:tblGrid>
      <w:tr>
        <w:trPr/>
        <w:tc>
          <w:tcPr>
            <w:tcW w:w="7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5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tc>
      </w:tr>
    </w:tbl>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 July 23, 2026, NVR, Inc. issued a press release reporting its financial results for the quarter and year to date periods ended June 30, 2026. A copy of this press release is furnished herewith as Exhibit 99.1.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tbl>
      <w:tblPr>
        <w:tblW w:w="10205" w:type="dxa"/>
        <w:jc w:val="center"/>
        <w:tblInd w:w="0" w:type="dxa"/>
        <w:tblLayout w:type="fixed"/>
        <w:tblCellMar>
          <w:top w:w="28" w:type="dxa"/>
          <w:left w:w="28" w:type="dxa"/>
          <w:bottom w:w="28" w:type="dxa"/>
          <w:right w:w="28" w:type="dxa"/>
        </w:tblCellMar>
      </w:tblPr>
      <w:tblGrid>
        <w:gridCol w:w="636"/>
        <w:gridCol w:w="540"/>
        <w:gridCol w:w="524"/>
        <w:gridCol w:w="452"/>
        <w:gridCol w:w="452"/>
        <w:gridCol w:w="452"/>
        <w:gridCol w:w="2076"/>
        <w:gridCol w:w="2076"/>
        <w:gridCol w:w="2997"/>
      </w:tblGrid>
      <w:tr>
        <w:trPr/>
        <w:tc>
          <w:tcPr>
            <w:tcW w:w="6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 Exhibits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Number</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Description</w:t>
            </w:r>
          </w:p>
        </w:tc>
      </w:tr>
      <w:tr>
        <w:trPr/>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026ex991_earningsrelease.htm">
              <w:r>
                <w:rPr>
                  <w:rStyle w:val="InternetLink"/>
                  <w:rFonts w:ascii="Times New Roman;serif" w:hAnsi="Times New Roman;serif"/>
                  <w:b w:val="false"/>
                  <w:color w:val="0000FF"/>
                  <w:sz w:val="24"/>
                  <w:u w:val="single"/>
                </w:rPr>
                <w:t>Press release dated July 23, 2026</w:t>
              </w:r>
            </w:hyperlink>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center"/>
        <w:rPr/>
      </w:pPr>
      <w:r>
        <w:rPr/>
      </w:r>
    </w:p>
    <w:p>
      <w:pPr>
        <w:pStyle w:val="TextBody"/>
        <w:bidi w:val="0"/>
        <w:spacing w:lineRule="auto" w:line="288" w:before="0" w:after="0"/>
        <w:ind w:left="0" w:right="0" w:firstLine="48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8383" w:type="dxa"/>
        <w:jc w:val="center"/>
        <w:tblInd w:w="0" w:type="dxa"/>
        <w:tblLayout w:type="fixed"/>
        <w:tblCellMar>
          <w:top w:w="28" w:type="dxa"/>
          <w:left w:w="28" w:type="dxa"/>
          <w:bottom w:w="28" w:type="dxa"/>
          <w:right w:w="28" w:type="dxa"/>
        </w:tblCellMar>
      </w:tblPr>
      <w:tblGrid>
        <w:gridCol w:w="715"/>
        <w:gridCol w:w="631"/>
        <w:gridCol w:w="634"/>
        <w:gridCol w:w="149"/>
        <w:gridCol w:w="149"/>
        <w:gridCol w:w="151"/>
        <w:gridCol w:w="1743"/>
        <w:gridCol w:w="1743"/>
        <w:gridCol w:w="2468"/>
      </w:tblGrid>
      <w:tr>
        <w:trP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NVR, Inc.</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July 23,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Daniel D. Malzahn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D. Malzahn</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Senior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3144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14450" cy="5143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NVR, INC. ANNOUNCES SECOND QUARTER RESULTS</w:t>
      </w:r>
    </w:p>
    <w:p>
      <w:pPr>
        <w:pStyle w:val="TextBody"/>
        <w:bidi w:val="0"/>
        <w:spacing w:before="360" w:after="283"/>
        <w:jc w:val="center"/>
        <w:rPr/>
      </w:pPr>
      <w:r>
        <w:rPr/>
      </w:r>
    </w:p>
    <w:p>
      <w:pPr>
        <w:pStyle w:val="TextBody"/>
        <w:bidi w:val="0"/>
        <w:spacing w:lineRule="auto" w:line="288" w:before="120" w:after="283"/>
        <w:jc w:val="left"/>
        <w:rPr/>
      </w:pPr>
      <w:r>
        <w:rPr>
          <w:rFonts w:ascii="Times New Roman;serif" w:hAnsi="Times New Roman;serif"/>
          <w:b/>
          <w:color w:val="000000"/>
          <w:sz w:val="22"/>
        </w:rPr>
        <w:t>July 23, 2026, Reston, VA—NVR, Inc. (NYSE: NVR)</w:t>
      </w:r>
      <w:r>
        <w:rPr>
          <w:rFonts w:ascii="Times New Roman;serif" w:hAnsi="Times New Roman;serif"/>
          <w:b w:val="false"/>
          <w:color w:val="000000"/>
          <w:sz w:val="22"/>
        </w:rPr>
        <w:t xml:space="preserve">, one of the nation’s largest homebuilding and mortgage banking companies, announced net income for its second quarter ended June 30, 2026 of $236.5 million, or $83.96 per diluted share. For the second quarter ended June 30, 2026, net income and diluted earnings per share decreased 29% and 23%, respectively, when compared to 2025 second quarter net income of $333.7 million, or $108.54 per diluted share. Consolidated revenues for the second quarter of 2026 totaled $2.33 billion, compared to $2.60 billion in the second quarter of 2025.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the six months ended June 30, 2026, consolidated revenues were $4.21 billion, a 16% decrease from $5.00 billion reported for the same period of 2025. Net income for the six months ended June 30, 2026 was $434.8 million, a decrease of 31% when compared to net income for the six months ended June 30, 2025 of $633.3 million. Diluted earnings per share for the six months ended June 30, 2026 was $151.38, a decrease of 26% from $203.20 per diluted share for the same period of 2025.</w:t>
      </w:r>
    </w:p>
    <w:p>
      <w:pPr>
        <w:pStyle w:val="TextBody"/>
        <w:bidi w:val="0"/>
        <w:spacing w:lineRule="auto" w:line="288"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Homebuilding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New orders in the second quarter of 2026 increased by 9% to 5,885 units, when compared to 5,379 units in the second quarter of 2025. The average sales price of new orders in the second quarter of 2026 was $437,100, a decrease of 5% when compared to the second quarter of 2025. The cancellation rate in the second quarter of 2026 was 15% compared to 17% in the second quarter of 2025. Settlements in the second quarter of 2026 decreased by 8% to 5,058 units, compared to 5,475 units in the second quarter of 2025. The average settlement price in the second quarter of 2026 was $450,700, a decrease of 3% when compared to the second quarter of 2025. Our backlog of homes sold but not settled as of June 30, 2026 increased on a unit basis by 9% to 10,998 units and increased on a dollar basis by 5% to $4.99 billion when compared to the respective backlog unit and dollar balances as of June 30, 2025.</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Homebuilding revenues of $2.28 billion in the second quarter of 2026 decreased by 11% compared to homebuilding revenues of $2.55 billion in the second quarter of 2025. Gross profit margin in the second quarter of 2026 decreased to 19.2%, from 21.5% in the second quarter of 2025. Gross profit margin was negatively impacted by higher lot costs, pricing pressure due to continued affordability challenges and weak consumer sentiment, and by contract land deposit impairments totaling approximately $21.7 million. Income before tax from the homebuilding segment totaled $293.2 million in the second quarter of 2026, a decrease of 30% when compared to the second quarter of 2025.</w:t>
      </w:r>
    </w:p>
    <w:p>
      <w:pPr>
        <w:pStyle w:val="TextBody"/>
        <w:bidi w:val="0"/>
        <w:spacing w:lineRule="auto" w:line="288"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Mortgage Banking</w:t>
      </w:r>
    </w:p>
    <w:p>
      <w:pPr>
        <w:pStyle w:val="TextBody"/>
        <w:bidi w:val="0"/>
        <w:spacing w:lineRule="auto" w:line="26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Mortgage closed loan production in the second quarter of 2026 totaled $1.35 billion, a decrease of 13% when compared to the second quarter of 2025. Income before tax from the mortgage banking segment totaled $25.4 million in the second quarter of 2026, a decrease of 14% when compared to $29.6 million in the second quarter of 2025. </w:t>
      </w:r>
    </w:p>
    <w:p>
      <w:pPr>
        <w:pStyle w:val="TextBody"/>
        <w:bidi w:val="0"/>
        <w:spacing w:before="120" w:after="283"/>
        <w:jc w:val="left"/>
        <w:rPr/>
      </w:pPr>
      <w:r>
        <w:rPr/>
      </w:r>
    </w:p>
    <w:p>
      <w:pPr>
        <w:pStyle w:val="TextBody"/>
        <w:bidi w:val="0"/>
        <w:spacing w:lineRule="auto" w:line="256"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About NVR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NVR, Inc. operates in two business segments: homebuilding and mortgage banking. The homebuilding segment sells and builds homes under the Ryan Homes, NVHomes and Heartland Homes trade names, and operates in thirty-seven metropolitan areas in sixteen states and Washington, D.C. For more information about NVR, Inc. and its brands, see www.nvrinc.com, www.ryanhomes.com, www.nvhomes.com and www.heartlandluxuryhomes.com.</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Some of the statements in this release made by the Company constitute “forward-looking statements” within the meaning of the Private Securities Litigation Reform Act of 1995, Section 27A of the Securities Act of 1933, as amended, and Section 21E of the Securities Exchange Act of 1934, as amended. Certain, but not necessarily all, of such forward-looking statements can be identified by the use of forward-looking terminology, such as “believes,” “expects,” “may,”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will,” “should,” "could," or “anticipates” or the negative thereof or other comparable terminology. All statements other than of historical facts are forward-looking statements. Forward-looking statements contained in this document may include those regarding market trends, NVR’s financial position and financial results, business strategy, the outcome of pending litigation, investigations or similar contingencies, and projected plans and objectives of management for future operations. Such forward-looking statements involve known and unknown risks, uncertainties and other factors that may cause the actual results or performance of NVR to be materially different from future results, performance or achievements expressed or implied by the forward-looking statements. Such risk factors include, but are not limited to the following: general economic and business conditions (on both a national and regional level); interest rate changes; access to suitable financing by NVR and NVR’s customers; increased regulation in the mortgage banking industry; the ability of our mortgage banking subsidiary to sell loans it originates into the secondary market; competition; the availability and cost of land and other raw materials used by NVR in its homebuilding operations; shortages of labor; the economic impact of a major epidemic or pandemic; weather related slow-downs; building moratoriums; governmental regulation; fluctuation and volatility of stock and other financial markets; mortgage financing availability; and other factors over which NVR has little or no control. NVR undertakes no obligation to update such forward-looking statements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Consolidated Statements of Income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5"/>
        <w:gridCol w:w="1170"/>
        <w:gridCol w:w="117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3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4,898,712 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(1,841,217)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(3,835,358)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(314,287)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417,517 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517,794 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787,001 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(51,118)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62,136 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849,137 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633,313 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tbl>
      <w:tblPr>
        <w:tblW w:w="9419" w:type="dxa"/>
        <w:jc w:val="center"/>
        <w:tblInd w:w="0" w:type="dxa"/>
        <w:tblLayout w:type="fixed"/>
        <w:tblCellMar>
          <w:top w:w="28" w:type="dxa"/>
          <w:left w:w="28" w:type="dxa"/>
          <w:bottom w:w="28" w:type="dxa"/>
          <w:right w:w="28" w:type="dxa"/>
        </w:tblCellMar>
      </w:tblPr>
      <w:tblGrid>
        <w:gridCol w:w="2122"/>
        <w:gridCol w:w="1870"/>
        <w:gridCol w:w="1888"/>
        <w:gridCol w:w="109"/>
        <w:gridCol w:w="109"/>
        <w:gridCol w:w="109"/>
        <w:gridCol w:w="211"/>
        <w:gridCol w:w="976"/>
        <w:gridCol w:w="109"/>
        <w:gridCol w:w="109"/>
        <w:gridCol w:w="109"/>
        <w:gridCol w:w="109"/>
        <w:gridCol w:w="250"/>
        <w:gridCol w:w="1157"/>
        <w:gridCol w:w="182"/>
      </w:tblGrid>
      <w:tr>
        <w:trPr/>
        <w:tc>
          <w:tcPr>
            <w:tcW w:w="21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9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Balance Sheets</w:t>
            </w:r>
          </w:p>
        </w:tc>
      </w:tr>
      <w:tr>
        <w:trPr/>
        <w:tc>
          <w:tcPr>
            <w:tcW w:w="9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and per share data)</w:t>
            </w:r>
          </w:p>
        </w:tc>
      </w:tr>
      <w:tr>
        <w:trPr/>
        <w:tc>
          <w:tcPr>
            <w:tcW w:w="94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1,883,844 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Lots and housing units, covered under sales agreements with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1,410,695 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Unsold lots and housing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252,029 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1,723,560 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land deposits,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4,908,913 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5,089,563 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571,596 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5,470,620 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5,856,930 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17"/>
        <w:gridCol w:w="2125"/>
        <w:gridCol w:w="2130"/>
        <w:gridCol w:w="115"/>
        <w:gridCol w:w="115"/>
        <w:gridCol w:w="115"/>
        <w:gridCol w:w="223"/>
        <w:gridCol w:w="1033"/>
        <w:gridCol w:w="115"/>
        <w:gridCol w:w="115"/>
        <w:gridCol w:w="115"/>
        <w:gridCol w:w="115"/>
        <w:gridCol w:w="231"/>
        <w:gridCol w:w="1069"/>
        <w:gridCol w:w="172"/>
      </w:tblGrid>
      <w:tr>
        <w:trPr/>
        <w:tc>
          <w:tcPr>
            <w:tcW w:w="2417"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Balance Sheets (Continued)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and per share data)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375,478 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311,697 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294,698 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249,210 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117,947 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909,160 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2,007,982 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1,912,179 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71,442 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79,882 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2,079,424 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1,992,061 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Shareholders' equity: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60,000,000 shares authorized; 20,555,330 shares issued as of both June 30, 2026 and December 31, 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3,223,670 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3,155,367 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trust – 106,697 shares of NVR, Inc. common stock as of both June 30, 2026 and December 31, 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16,821,586 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16,386,769 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 17,877,177 and 17,755,943 shares as of June 30, 2026 and December 31, 2025, respectively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(16,654,266)</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(15,677,473)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3,391,196 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3,864,869 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5,470,620 </w:t>
            </w:r>
          </w:p>
        </w:tc>
        <w:tc>
          <w:tcPr>
            <w:tcW w:w="1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5,856,930 </w:t>
            </w:r>
          </w:p>
        </w:tc>
        <w:tc>
          <w:tcPr>
            <w:tcW w:w="17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62"/>
        <w:gridCol w:w="336"/>
        <w:gridCol w:w="220"/>
        <w:gridCol w:w="137"/>
        <w:gridCol w:w="137"/>
        <w:gridCol w:w="137"/>
        <w:gridCol w:w="220"/>
        <w:gridCol w:w="208"/>
        <w:gridCol w:w="209"/>
        <w:gridCol w:w="109"/>
        <w:gridCol w:w="109"/>
        <w:gridCol w:w="109"/>
        <w:gridCol w:w="208"/>
        <w:gridCol w:w="592"/>
        <w:gridCol w:w="115"/>
        <w:gridCol w:w="109"/>
        <w:gridCol w:w="109"/>
        <w:gridCol w:w="109"/>
        <w:gridCol w:w="169"/>
        <w:gridCol w:w="169"/>
        <w:gridCol w:w="173"/>
        <w:gridCol w:w="109"/>
        <w:gridCol w:w="109"/>
        <w:gridCol w:w="109"/>
        <w:gridCol w:w="208"/>
        <w:gridCol w:w="592"/>
        <w:gridCol w:w="115"/>
        <w:gridCol w:w="109"/>
        <w:gridCol w:w="109"/>
        <w:gridCol w:w="109"/>
        <w:gridCol w:w="323"/>
        <w:gridCol w:w="323"/>
        <w:gridCol w:w="166"/>
        <w:gridCol w:w="109"/>
        <w:gridCol w:w="109"/>
        <w:gridCol w:w="109"/>
        <w:gridCol w:w="208"/>
        <w:gridCol w:w="592"/>
        <w:gridCol w:w="115"/>
        <w:gridCol w:w="109"/>
        <w:gridCol w:w="109"/>
        <w:gridCol w:w="109"/>
        <w:gridCol w:w="323"/>
        <w:gridCol w:w="323"/>
        <w:gridCol w:w="166"/>
        <w:gridCol w:w="109"/>
        <w:gridCol w:w="109"/>
        <w:gridCol w:w="109"/>
        <w:gridCol w:w="208"/>
        <w:gridCol w:w="590"/>
        <w:gridCol w:w="172"/>
      </w:tblGrid>
      <w:tr>
        <w:trPr/>
        <w:tc>
          <w:tcPr>
            <w:tcW w:w="4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Operating Activity</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1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r>
      <w:tr>
        <w:trPr/>
        <w:tc>
          <w:tcPr>
            <w:tcW w:w="20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New orders, net of cancellations: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10,724 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Settlements: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363.3 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9,073 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10,608 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74" w:type="dxa"/>
        <w:jc w:val="center"/>
        <w:tblInd w:w="0" w:type="dxa"/>
        <w:tblLayout w:type="fixed"/>
        <w:tblCellMar>
          <w:top w:w="28" w:type="dxa"/>
          <w:left w:w="28" w:type="dxa"/>
          <w:bottom w:w="28" w:type="dxa"/>
          <w:right w:w="28" w:type="dxa"/>
        </w:tblCellMar>
      </w:tblPr>
      <w:tblGrid>
        <w:gridCol w:w="461"/>
        <w:gridCol w:w="405"/>
        <w:gridCol w:w="408"/>
        <w:gridCol w:w="109"/>
        <w:gridCol w:w="109"/>
        <w:gridCol w:w="109"/>
        <w:gridCol w:w="198"/>
        <w:gridCol w:w="198"/>
        <w:gridCol w:w="205"/>
        <w:gridCol w:w="109"/>
        <w:gridCol w:w="109"/>
        <w:gridCol w:w="109"/>
        <w:gridCol w:w="252"/>
        <w:gridCol w:w="717"/>
        <w:gridCol w:w="140"/>
        <w:gridCol w:w="109"/>
        <w:gridCol w:w="109"/>
        <w:gridCol w:w="109"/>
        <w:gridCol w:w="198"/>
        <w:gridCol w:w="198"/>
        <w:gridCol w:w="205"/>
        <w:gridCol w:w="109"/>
        <w:gridCol w:w="109"/>
        <w:gridCol w:w="109"/>
        <w:gridCol w:w="252"/>
        <w:gridCol w:w="717"/>
        <w:gridCol w:w="140"/>
        <w:gridCol w:w="109"/>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tbl>
      <w:tblPr>
        <w:tblW w:w="9791" w:type="dxa"/>
        <w:jc w:val="center"/>
        <w:tblInd w:w="0" w:type="dxa"/>
        <w:tblLayout w:type="fixed"/>
        <w:tblCellMar>
          <w:top w:w="28" w:type="dxa"/>
          <w:left w:w="28" w:type="dxa"/>
          <w:bottom w:w="28" w:type="dxa"/>
          <w:right w:w="28" w:type="dxa"/>
        </w:tblCellMar>
      </w:tblPr>
      <w:tblGrid>
        <w:gridCol w:w="1006"/>
        <w:gridCol w:w="882"/>
        <w:gridCol w:w="887"/>
        <w:gridCol w:w="109"/>
        <w:gridCol w:w="109"/>
        <w:gridCol w:w="109"/>
        <w:gridCol w:w="342"/>
        <w:gridCol w:w="292"/>
        <w:gridCol w:w="639"/>
        <w:gridCol w:w="176"/>
        <w:gridCol w:w="176"/>
        <w:gridCol w:w="176"/>
        <w:gridCol w:w="342"/>
        <w:gridCol w:w="292"/>
        <w:gridCol w:w="639"/>
        <w:gridCol w:w="109"/>
        <w:gridCol w:w="109"/>
        <w:gridCol w:w="109"/>
        <w:gridCol w:w="211"/>
        <w:gridCol w:w="976"/>
        <w:gridCol w:w="271"/>
        <w:gridCol w:w="109"/>
        <w:gridCol w:w="109"/>
        <w:gridCol w:w="109"/>
        <w:gridCol w:w="211"/>
        <w:gridCol w:w="976"/>
        <w:gridCol w:w="316"/>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7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97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Operating Activity (Continued)</w:t>
            </w:r>
          </w:p>
        </w:tc>
      </w:tr>
      <w:tr>
        <w:trPr/>
        <w:tc>
          <w:tcPr>
            <w:tcW w:w="97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979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Average active 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Homebuilding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order cancellation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6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6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Lots controlled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Mortgage banking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 closings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1,354,713</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1,555,280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2,407,697 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2,988,201 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Capture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6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6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Common stock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outstanding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2,883,215 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142,954 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Aggregate cost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357,777</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831" w:type="dxa"/>
        <w:jc w:val="center"/>
        <w:tblInd w:w="0" w:type="dxa"/>
        <w:tblLayout w:type="fixed"/>
        <w:tblCellMar>
          <w:top w:w="28" w:type="dxa"/>
          <w:left w:w="28" w:type="dxa"/>
          <w:bottom w:w="28" w:type="dxa"/>
          <w:right w:w="28" w:type="dxa"/>
        </w:tblCellMar>
      </w:tblPr>
      <w:tblGrid>
        <w:gridCol w:w="124"/>
        <w:gridCol w:w="109"/>
        <w:gridCol w:w="109"/>
        <w:gridCol w:w="1603"/>
        <w:gridCol w:w="1603"/>
        <w:gridCol w:w="2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 Virginia, West Virginia, Delaware and Washington, D.C.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Jersey and Eastern Pennsylvania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Ohio, Western Pennsylvania, Indiana and Illinois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Carolina, South Carolina, Tennessee, Florida, Georgia and Kentucky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Investor Relations Contact:</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Ryan Sheplee</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(703) 956-4243</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ir@nvrinc.com</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2324</Words>
  <Characters>12509</Characters>
  <CharactersWithSpaces>14391</CharactersWithSpaces>
  <Paragraphs>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