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ind w:left="4592"/>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54" w:lineRule="exact"/>
        <w:rPr>
          <w:sz w:val="24"/>
          <w:szCs w:val="24"/>
          <w:color w:val="auto"/>
        </w:rPr>
      </w:pPr>
    </w:p>
    <w:p>
      <w:pPr>
        <w:ind w:left="4852"/>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312" w:hanging="312"/>
        <w:spacing w:after="0"/>
        <w:tabs>
          <w:tab w:leader="none" w:pos="31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color w:val="auto"/>
        </w:rPr>
        <w:t>ANNUAL REPORT PURSUANT TO SECTION 15(d) OF THE SECURITIES EXCHANGE ACT OF 1934</w:t>
      </w:r>
    </w:p>
    <w:p>
      <w:pPr>
        <w:spacing w:after="0" w:line="247" w:lineRule="exact"/>
        <w:rPr>
          <w:rFonts w:ascii="MS PGothic" w:cs="MS PGothic" w:eastAsia="MS PGothic" w:hAnsi="MS PGothic"/>
          <w:sz w:val="16"/>
          <w:szCs w:val="16"/>
          <w:color w:val="auto"/>
        </w:rPr>
      </w:pPr>
    </w:p>
    <w:p>
      <w:pPr>
        <w:ind w:left="3992"/>
        <w:spacing w:after="0"/>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For the fiscal year ended December 31, 2025</w:t>
      </w:r>
    </w:p>
    <w:p>
      <w:pPr>
        <w:spacing w:after="0" w:line="248" w:lineRule="exact"/>
        <w:rPr>
          <w:rFonts w:ascii="MS PGothic" w:cs="MS PGothic" w:eastAsia="MS PGothic" w:hAnsi="MS PGothic"/>
          <w:sz w:val="16"/>
          <w:szCs w:val="16"/>
          <w:color w:val="auto"/>
        </w:rPr>
      </w:pPr>
    </w:p>
    <w:p>
      <w:pPr>
        <w:ind w:left="5472"/>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352" w:hanging="352"/>
        <w:spacing w:after="0"/>
        <w:tabs>
          <w:tab w:leader="none" w:pos="352"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9"/>
          <w:szCs w:val="19"/>
          <w:color w:val="auto"/>
        </w:rPr>
        <w:t>TRANSITION REPORT PURSUANT TO SECTION 15(d) OF THE SECURITIES EXCHANGE ACT OF 1934</w:t>
      </w:r>
    </w:p>
    <w:p>
      <w:pPr>
        <w:spacing w:after="0" w:line="272" w:lineRule="exact"/>
        <w:rPr>
          <w:rFonts w:ascii="MS PGothic" w:cs="MS PGothic" w:eastAsia="MS PGothic" w:hAnsi="MS PGothic"/>
          <w:sz w:val="15"/>
          <w:szCs w:val="15"/>
          <w:color w:val="auto"/>
        </w:rPr>
      </w:pPr>
    </w:p>
    <w:p>
      <w:pPr>
        <w:ind w:left="3692"/>
        <w:spacing w:after="0"/>
        <w:rPr>
          <w:rFonts w:ascii="MS PGothic" w:cs="MS PGothic" w:eastAsia="MS PGothic" w:hAnsi="MS PGothic"/>
          <w:sz w:val="15"/>
          <w:szCs w:val="15"/>
          <w:color w:val="auto"/>
        </w:rPr>
      </w:pPr>
      <w:r>
        <w:rPr>
          <w:rFonts w:ascii="Times New Roman" w:cs="Times New Roman" w:eastAsia="Times New Roman" w:hAnsi="Times New Roman"/>
          <w:sz w:val="18"/>
          <w:szCs w:val="18"/>
          <w:color w:val="auto"/>
        </w:rPr>
        <w:t>For the transition period from ________ to ________</w:t>
      </w:r>
    </w:p>
    <w:p>
      <w:pPr>
        <w:spacing w:after="0" w:line="252" w:lineRule="exact"/>
        <w:rPr>
          <w:rFonts w:ascii="MS PGothic" w:cs="MS PGothic" w:eastAsia="MS PGothic" w:hAnsi="MS PGothic"/>
          <w:sz w:val="15"/>
          <w:szCs w:val="15"/>
          <w:color w:val="auto"/>
        </w:rPr>
      </w:pPr>
    </w:p>
    <w:p>
      <w:pPr>
        <w:ind w:left="4352"/>
        <w:spacing w:after="0"/>
        <w:rPr>
          <w:rFonts w:ascii="MS PGothic" w:cs="MS PGothic" w:eastAsia="MS PGothic" w:hAnsi="MS PGothic"/>
          <w:sz w:val="15"/>
          <w:szCs w:val="15"/>
          <w:color w:val="auto"/>
        </w:rPr>
      </w:pPr>
      <w:r>
        <w:rPr>
          <w:rFonts w:ascii="Times New Roman" w:cs="Times New Roman" w:eastAsia="Times New Roman" w:hAnsi="Times New Roman"/>
          <w:sz w:val="18"/>
          <w:szCs w:val="18"/>
          <w:color w:val="auto"/>
        </w:rPr>
        <w:t>Commission File Number 1-12378</w:t>
      </w:r>
    </w:p>
    <w:p>
      <w:pPr>
        <w:spacing w:after="0" w:line="298"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41" w:lineRule="exact"/>
        <w:rPr>
          <w:sz w:val="24"/>
          <w:szCs w:val="24"/>
          <w:color w:val="auto"/>
        </w:rPr>
      </w:pPr>
    </w:p>
    <w:p>
      <w:pPr>
        <w:ind w:left="4992"/>
        <w:spacing w:after="0"/>
        <w:rPr>
          <w:sz w:val="20"/>
          <w:szCs w:val="20"/>
          <w:color w:val="auto"/>
        </w:rPr>
      </w:pPr>
      <w:r>
        <w:rPr>
          <w:rFonts w:ascii="Times New Roman" w:cs="Times New Roman" w:eastAsia="Times New Roman" w:hAnsi="Times New Roman"/>
          <w:sz w:val="13"/>
          <w:szCs w:val="13"/>
          <w:color w:val="auto"/>
        </w:rPr>
        <w:t>(Full name of the Plan)</w:t>
      </w:r>
    </w:p>
    <w:p>
      <w:pPr>
        <w:spacing w:after="0" w:line="282"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32"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0"/>
          <w:szCs w:val="20"/>
          <w:b w:val="1"/>
          <w:bCs w:val="1"/>
          <w:color w:val="auto"/>
        </w:rPr>
        <w:t>11700 Plaza America Drive, Suite 500</w:t>
      </w:r>
    </w:p>
    <w:p>
      <w:pPr>
        <w:spacing w:after="0" w:line="27"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0"/>
          <w:szCs w:val="20"/>
          <w:b w:val="1"/>
          <w:bCs w:val="1"/>
          <w:color w:val="auto"/>
        </w:rPr>
        <w:t>Reston, Virginia 20190</w:t>
      </w:r>
    </w:p>
    <w:p>
      <w:pPr>
        <w:spacing w:after="0" w:line="27"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0"/>
          <w:szCs w:val="20"/>
          <w:b w:val="1"/>
          <w:bCs w:val="1"/>
          <w:color w:val="auto"/>
        </w:rPr>
        <w:t>(703) 956-4000</w:t>
      </w:r>
    </w:p>
    <w:p>
      <w:pPr>
        <w:spacing w:after="0" w:line="35" w:lineRule="exact"/>
        <w:rPr>
          <w:sz w:val="24"/>
          <w:szCs w:val="24"/>
          <w:color w:val="auto"/>
        </w:rPr>
      </w:pPr>
    </w:p>
    <w:p>
      <w:pPr>
        <w:ind w:left="2292"/>
        <w:spacing w:after="0"/>
        <w:rPr>
          <w:sz w:val="20"/>
          <w:szCs w:val="20"/>
          <w:color w:val="auto"/>
        </w:rPr>
      </w:pPr>
      <w:r>
        <w:rPr>
          <w:rFonts w:ascii="Times New Roman" w:cs="Times New Roman" w:eastAsia="Times New Roman" w:hAnsi="Times New Roman"/>
          <w:sz w:val="13"/>
          <w:szCs w:val="13"/>
          <w:color w:val="auto"/>
        </w:rPr>
        <w:t>(Name of issuer of securities held pursuant to the Plan and the address and phone number of its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1435100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11-K</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840" w:type="dxa"/>
            <w:vAlign w:val="bottom"/>
          </w:tcPr>
          <w:p>
            <w:pPr>
              <w:ind w:left="48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467"/>
        </w:trPr>
        <w:tc>
          <w:tcPr>
            <w:tcW w:w="9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83"/>
        </w:trPr>
        <w:tc>
          <w:tcPr>
            <w:tcW w:w="98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600" w:type="dxa"/>
            <w:vAlign w:val="bottom"/>
          </w:tcPr>
          <w:p>
            <w:pPr>
              <w:spacing w:after="0"/>
              <w:rPr>
                <w:sz w:val="24"/>
                <w:szCs w:val="24"/>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400" w:type="dxa"/>
            <w:vAlign w:val="bottom"/>
          </w:tcPr>
          <w:p>
            <w:pPr>
              <w:spacing w:after="0"/>
              <w:rPr>
                <w:sz w:val="24"/>
                <w:szCs w:val="24"/>
                <w:color w:val="auto"/>
              </w:rPr>
            </w:pPr>
          </w:p>
        </w:tc>
      </w:tr>
      <w:tr>
        <w:trPr>
          <w:trHeight w:val="525"/>
        </w:trPr>
        <w:tc>
          <w:tcPr>
            <w:tcW w:w="98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6"/>
        </w:trPr>
        <w:tc>
          <w:tcPr>
            <w:tcW w:w="98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Statements of Net Assets Available for Plan Benefits as of December 31, 2025 and 2024</w:t>
            </w:r>
          </w:p>
        </w:tc>
        <w:tc>
          <w:tcPr>
            <w:tcW w:w="1000" w:type="dxa"/>
            <w:vAlign w:val="bottom"/>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99"/>
              </w:rPr>
              <w:t>2</w:t>
            </w:r>
          </w:p>
        </w:tc>
        <w:tc>
          <w:tcPr>
            <w:tcW w:w="400" w:type="dxa"/>
            <w:vAlign w:val="bottom"/>
          </w:tcPr>
          <w:p>
            <w:pPr>
              <w:spacing w:after="0"/>
              <w:rPr>
                <w:sz w:val="22"/>
                <w:szCs w:val="22"/>
                <w:color w:val="auto"/>
              </w:rPr>
            </w:pPr>
          </w:p>
        </w:tc>
      </w:tr>
      <w:tr>
        <w:trPr>
          <w:trHeight w:val="257"/>
        </w:trPr>
        <w:tc>
          <w:tcPr>
            <w:tcW w:w="98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Statement of Changes in Net Assets Available for Plan Benefits for the Year Ended December 31, 2025</w:t>
            </w:r>
          </w:p>
        </w:tc>
        <w:tc>
          <w:tcPr>
            <w:tcW w:w="1000" w:type="dxa"/>
            <w:vAlign w:val="bottom"/>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99"/>
              </w:rPr>
              <w:t>3</w:t>
            </w:r>
          </w:p>
        </w:tc>
        <w:tc>
          <w:tcPr>
            <w:tcW w:w="400" w:type="dxa"/>
            <w:vAlign w:val="bottom"/>
          </w:tcPr>
          <w:p>
            <w:pPr>
              <w:spacing w:after="0"/>
              <w:rPr>
                <w:sz w:val="22"/>
                <w:szCs w:val="22"/>
                <w:color w:val="auto"/>
              </w:rPr>
            </w:pPr>
          </w:p>
        </w:tc>
      </w:tr>
      <w:tr>
        <w:trPr>
          <w:trHeight w:val="258"/>
        </w:trPr>
        <w:tc>
          <w:tcPr>
            <w:tcW w:w="98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1000" w:type="dxa"/>
            <w:vAlign w:val="bottom"/>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99"/>
              </w:rPr>
              <w:t>4</w:t>
            </w:r>
          </w:p>
        </w:tc>
        <w:tc>
          <w:tcPr>
            <w:tcW w:w="400" w:type="dxa"/>
            <w:vAlign w:val="bottom"/>
          </w:tcPr>
          <w:p>
            <w:pPr>
              <w:spacing w:after="0"/>
              <w:rPr>
                <w:sz w:val="22"/>
                <w:szCs w:val="22"/>
                <w:color w:val="auto"/>
              </w:rPr>
            </w:pPr>
          </w:p>
        </w:tc>
      </w:tr>
      <w:tr>
        <w:trPr>
          <w:trHeight w:val="619"/>
        </w:trPr>
        <w:tc>
          <w:tcPr>
            <w:tcW w:w="98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Supplemental Schedules:</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7"/>
        </w:trPr>
        <w:tc>
          <w:tcPr>
            <w:tcW w:w="98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Schedule H, Line 4(a) - Schedule of Delinquent Participant Contributions for the Year Ended December 31, 2025</w:t>
            </w:r>
          </w:p>
        </w:tc>
        <w:tc>
          <w:tcPr>
            <w:tcW w:w="1000" w:type="dxa"/>
            <w:vAlign w:val="bottom"/>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89"/>
              </w:rPr>
              <w:t>11</w:t>
            </w:r>
          </w:p>
        </w:tc>
        <w:tc>
          <w:tcPr>
            <w:tcW w:w="400" w:type="dxa"/>
            <w:vAlign w:val="bottom"/>
          </w:tcPr>
          <w:p>
            <w:pPr>
              <w:spacing w:after="0"/>
              <w:rPr>
                <w:sz w:val="22"/>
                <w:szCs w:val="22"/>
                <w:color w:val="auto"/>
              </w:rPr>
            </w:pPr>
          </w:p>
        </w:tc>
      </w:tr>
      <w:tr>
        <w:trPr>
          <w:trHeight w:val="258"/>
        </w:trPr>
        <w:tc>
          <w:tcPr>
            <w:tcW w:w="98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 as of December 31, 2025</w:t>
            </w:r>
          </w:p>
        </w:tc>
        <w:tc>
          <w:tcPr>
            <w:tcW w:w="1000" w:type="dxa"/>
            <w:vAlign w:val="bottom"/>
            <w:gridSpan w:val="2"/>
          </w:tcPr>
          <w:p>
            <w:pPr>
              <w:jc w:val="center"/>
              <w:ind w:left="501"/>
              <w:spacing w:after="0"/>
              <w:rPr>
                <w:sz w:val="20"/>
                <w:szCs w:val="20"/>
                <w:color w:val="auto"/>
              </w:rPr>
            </w:pPr>
            <w:r>
              <w:rPr>
                <w:rFonts w:ascii="Times New Roman" w:cs="Times New Roman" w:eastAsia="Times New Roman" w:hAnsi="Times New Roman"/>
                <w:sz w:val="20"/>
                <w:szCs w:val="20"/>
                <w:color w:val="auto"/>
                <w:w w:val="99"/>
              </w:rPr>
              <w:t>12</w:t>
            </w:r>
          </w:p>
        </w:tc>
        <w:tc>
          <w:tcPr>
            <w:tcW w:w="400" w:type="dxa"/>
            <w:vAlign w:val="bottom"/>
          </w:tcPr>
          <w:p>
            <w:pPr>
              <w:spacing w:after="0"/>
              <w:rPr>
                <w:sz w:val="22"/>
                <w:szCs w:val="22"/>
                <w:color w:val="auto"/>
              </w:rPr>
            </w:pPr>
          </w:p>
        </w:tc>
      </w:tr>
      <w:tr>
        <w:trPr>
          <w:trHeight w:val="527"/>
        </w:trPr>
        <w:tc>
          <w:tcPr>
            <w:tcW w:w="98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Exhibit Index</w:t>
            </w:r>
          </w:p>
        </w:tc>
        <w:tc>
          <w:tcPr>
            <w:tcW w:w="1000" w:type="dxa"/>
            <w:vAlign w:val="bottom"/>
            <w:gridSpan w:val="2"/>
          </w:tcPr>
          <w:p>
            <w:pPr>
              <w:jc w:val="center"/>
              <w:ind w:left="501"/>
              <w:spacing w:after="0"/>
              <w:rPr>
                <w:sz w:val="20"/>
                <w:szCs w:val="20"/>
                <w:color w:val="auto"/>
              </w:rPr>
            </w:pPr>
            <w:r>
              <w:rPr>
                <w:rFonts w:ascii="Times New Roman" w:cs="Times New Roman" w:eastAsia="Times New Roman" w:hAnsi="Times New Roman"/>
                <w:sz w:val="20"/>
                <w:szCs w:val="20"/>
                <w:color w:val="auto"/>
                <w:w w:val="99"/>
              </w:rPr>
              <w:t>13</w:t>
            </w:r>
          </w:p>
        </w:tc>
        <w:tc>
          <w:tcPr>
            <w:tcW w:w="400" w:type="dxa"/>
            <w:vAlign w:val="bottom"/>
          </w:tcPr>
          <w:p>
            <w:pPr>
              <w:spacing w:after="0"/>
              <w:rPr>
                <w:sz w:val="24"/>
                <w:szCs w:val="24"/>
                <w:color w:val="auto"/>
              </w:rPr>
            </w:pPr>
          </w:p>
        </w:tc>
      </w:tr>
      <w:tr>
        <w:trPr>
          <w:trHeight w:val="526"/>
        </w:trPr>
        <w:tc>
          <w:tcPr>
            <w:tcW w:w="98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Signature</w:t>
            </w:r>
          </w:p>
        </w:tc>
        <w:tc>
          <w:tcPr>
            <w:tcW w:w="1000" w:type="dxa"/>
            <w:vAlign w:val="bottom"/>
            <w:gridSpan w:val="2"/>
          </w:tcPr>
          <w:p>
            <w:pPr>
              <w:jc w:val="center"/>
              <w:ind w:left="501"/>
              <w:spacing w:after="0"/>
              <w:rPr>
                <w:sz w:val="20"/>
                <w:szCs w:val="20"/>
                <w:color w:val="auto"/>
              </w:rPr>
            </w:pPr>
            <w:r>
              <w:rPr>
                <w:rFonts w:ascii="Times New Roman" w:cs="Times New Roman" w:eastAsia="Times New Roman" w:hAnsi="Times New Roman"/>
                <w:sz w:val="20"/>
                <w:szCs w:val="20"/>
                <w:color w:val="auto"/>
                <w:w w:val="99"/>
              </w:rPr>
              <w:t>14</w:t>
            </w:r>
          </w:p>
        </w:tc>
        <w:tc>
          <w:tcPr>
            <w:tcW w:w="400" w:type="dxa"/>
            <w:vAlign w:val="bottom"/>
          </w:tcPr>
          <w:p>
            <w:pPr>
              <w:spacing w:after="0"/>
              <w:rPr>
                <w:sz w:val="24"/>
                <w:szCs w:val="24"/>
                <w:color w:val="auto"/>
              </w:rPr>
            </w:pPr>
          </w:p>
        </w:tc>
      </w:tr>
      <w:tr>
        <w:trPr>
          <w:trHeight w:val="1526"/>
        </w:trPr>
        <w:tc>
          <w:tcPr>
            <w:tcW w:w="98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Administrator and Plan Participants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NVR, Inc. Profit Sharing Plan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9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plan benefits of NVR, Inc. Profit Sharing Plan (the “Plan”) as of December 31, 2025 and 2024, the related statement of changes in net assets available for plan benefits for the year ended December 31, 2025, and the related notes (collectively referred to as the “financial statements”). In our opinion, the financial statements present fairly, in all material respects, the net assets available for plan benefits of the Plan as of December 31, 2025 and 2024, and the changes in net assets available for plan benefits for the year ended December 31, 2025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9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6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67"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9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The supplemental schedule of delinquent participant contributions for the year ended December 31,2025 and schedule of assets (held at end of year) as of December 31, 2025 (“supplemental information”)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2020.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2026</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3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Statements of Net Assets Available for Plan Benefits</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(in thousands)</w:t>
      </w:r>
    </w:p>
    <w:p>
      <w:pPr>
        <w:spacing w:after="0" w:line="264" w:lineRule="exact"/>
        <w:rPr>
          <w:sz w:val="20"/>
          <w:szCs w:val="20"/>
          <w:color w:val="auto"/>
        </w:rPr>
      </w:pPr>
    </w:p>
    <w:tbl>
      <w:tblPr>
        <w:tblLayout w:type="fixed"/>
        <w:tblInd w:w="1440" w:type="dxa"/>
        <w:tblCellMar>
          <w:top w:w="0" w:type="dxa"/>
          <w:left w:w="0" w:type="dxa"/>
          <w:bottom w:w="0" w:type="dxa"/>
          <w:right w:w="0" w:type="dxa"/>
        </w:tblCellMar>
      </w:tblPr>
      <w:tr>
        <w:trPr>
          <w:trHeight w:val="266"/>
        </w:trPr>
        <w:tc>
          <w:tcPr>
            <w:tcW w:w="48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27"/>
        </w:trPr>
        <w:tc>
          <w:tcPr>
            <w:tcW w:w="48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Plan's interest in master trust, at fair value</w:t>
            </w: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1,129,584</w:t>
            </w:r>
          </w:p>
        </w:tc>
        <w:tc>
          <w:tcPr>
            <w:tcW w:w="240" w:type="dxa"/>
            <w:vAlign w:val="bottom"/>
          </w:tcPr>
          <w:p>
            <w:pPr>
              <w:spacing w:after="0"/>
              <w:rPr>
                <w:sz w:val="22"/>
                <w:szCs w:val="22"/>
                <w:color w:val="auto"/>
              </w:rPr>
            </w:pPr>
          </w:p>
        </w:tc>
        <w:tc>
          <w:tcPr>
            <w:tcW w:w="54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1,012,619</w:t>
            </w:r>
          </w:p>
        </w:tc>
        <w:tc>
          <w:tcPr>
            <w:tcW w:w="0" w:type="dxa"/>
            <w:vAlign w:val="bottom"/>
          </w:tcPr>
          <w:p>
            <w:pPr>
              <w:spacing w:after="0"/>
              <w:rPr>
                <w:sz w:val="1"/>
                <w:szCs w:val="1"/>
                <w:color w:val="auto"/>
              </w:rPr>
            </w:pPr>
          </w:p>
        </w:tc>
      </w:tr>
      <w:tr>
        <w:trPr>
          <w:trHeight w:val="525"/>
        </w:trPr>
        <w:tc>
          <w:tcPr>
            <w:tcW w:w="4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Receivables: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13,255</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12,756</w:t>
            </w:r>
          </w:p>
        </w:tc>
        <w:tc>
          <w:tcPr>
            <w:tcW w:w="0" w:type="dxa"/>
            <w:vAlign w:val="bottom"/>
          </w:tcPr>
          <w:p>
            <w:pPr>
              <w:spacing w:after="0"/>
              <w:rPr>
                <w:sz w:val="1"/>
                <w:szCs w:val="1"/>
                <w:color w:val="auto"/>
              </w:rPr>
            </w:pPr>
          </w:p>
        </w:tc>
      </w:tr>
      <w:tr>
        <w:trPr>
          <w:trHeight w:val="259"/>
        </w:trPr>
        <w:tc>
          <w:tcPr>
            <w:tcW w:w="4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dividends and other</w:t>
            </w:r>
          </w:p>
        </w:tc>
        <w:tc>
          <w:tcPr>
            <w:tcW w:w="38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57"/>
        </w:trPr>
        <w:tc>
          <w:tcPr>
            <w:tcW w:w="4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receivables</w:t>
            </w: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13,255</w:t>
            </w:r>
          </w:p>
        </w:tc>
        <w:tc>
          <w:tcPr>
            <w:tcW w:w="24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12,761</w:t>
            </w:r>
          </w:p>
        </w:tc>
        <w:tc>
          <w:tcPr>
            <w:tcW w:w="0" w:type="dxa"/>
            <w:vAlign w:val="bottom"/>
          </w:tcPr>
          <w:p>
            <w:pPr>
              <w:spacing w:after="0"/>
              <w:rPr>
                <w:sz w:val="1"/>
                <w:szCs w:val="1"/>
                <w:color w:val="auto"/>
              </w:rPr>
            </w:pPr>
          </w:p>
        </w:tc>
      </w:tr>
      <w:tr>
        <w:trPr>
          <w:trHeight w:val="500"/>
        </w:trPr>
        <w:tc>
          <w:tcPr>
            <w:tcW w:w="4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assets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1,142,839</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1,025,380</w:t>
            </w:r>
          </w:p>
        </w:tc>
        <w:tc>
          <w:tcPr>
            <w:tcW w:w="0" w:type="dxa"/>
            <w:vAlign w:val="bottom"/>
          </w:tcPr>
          <w:p>
            <w:pPr>
              <w:spacing w:after="0"/>
              <w:rPr>
                <w:sz w:val="1"/>
                <w:szCs w:val="1"/>
                <w:color w:val="auto"/>
              </w:rPr>
            </w:pPr>
          </w:p>
        </w:tc>
      </w:tr>
      <w:tr>
        <w:trPr>
          <w:trHeight w:val="504"/>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Due to participants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78"/>
        </w:trPr>
        <w:tc>
          <w:tcPr>
            <w:tcW w:w="4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plan benefits</w:t>
            </w: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1,142,815</w:t>
            </w:r>
          </w:p>
        </w:tc>
        <w:tc>
          <w:tcPr>
            <w:tcW w:w="240" w:type="dxa"/>
            <w:vAlign w:val="bottom"/>
          </w:tcPr>
          <w:p>
            <w:pPr>
              <w:spacing w:after="0"/>
              <w:rPr>
                <w:sz w:val="21"/>
                <w:szCs w:val="21"/>
                <w:color w:val="auto"/>
              </w:rPr>
            </w:pPr>
          </w:p>
        </w:tc>
        <w:tc>
          <w:tcPr>
            <w:tcW w:w="5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1,025,322</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32"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20"/>
          <w:szCs w:val="20"/>
          <w:color w:val="auto"/>
        </w:rPr>
        <w:t>Statement of Changes in Net Assets Available for Plan Benefits</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Year Ended December 31, 2025</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(in thousands)</w:t>
      </w:r>
    </w:p>
    <w:p>
      <w:pPr>
        <w:sectPr>
          <w:pgSz w:w="11900" w:h="16838" w:orient="portrait"/>
          <w:cols w:equalWidth="0" w:num="1">
            <w:col w:w="10139"/>
          </w:cols>
          <w:pgMar w:left="320" w:top="121" w:right="1440" w:bottom="1440" w:gutter="0" w:footer="0" w:header="0"/>
        </w:sectPr>
      </w:pPr>
    </w:p>
    <w:p>
      <w:pPr>
        <w:spacing w:after="0" w:line="26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color w:val="auto"/>
        </w:rPr>
        <w:t>Additions to net assets attributable to:</w:t>
      </w:r>
    </w:p>
    <w:p>
      <w:pPr>
        <w:spacing w:after="0" w:line="32" w:lineRule="exact"/>
        <w:rPr>
          <w:sz w:val="20"/>
          <w:szCs w:val="20"/>
          <w:color w:val="auto"/>
        </w:rPr>
      </w:pPr>
    </w:p>
    <w:p>
      <w:pPr>
        <w:jc w:val="both"/>
        <w:ind w:left="1680" w:right="1492"/>
        <w:spacing w:after="0" w:line="267" w:lineRule="auto"/>
        <w:rPr>
          <w:sz w:val="20"/>
          <w:szCs w:val="20"/>
          <w:color w:val="auto"/>
        </w:rPr>
      </w:pPr>
      <w:r>
        <w:rPr>
          <w:rFonts w:ascii="Times New Roman" w:cs="Times New Roman" w:eastAsia="Times New Roman" w:hAnsi="Times New Roman"/>
          <w:sz w:val="20"/>
          <w:szCs w:val="20"/>
          <w:color w:val="auto"/>
        </w:rPr>
        <w:t>Plan's share of net investment income of master trust Interest income on notes receivable from participants Contributions:</w:t>
      </w:r>
    </w:p>
    <w:p>
      <w:pPr>
        <w:spacing w:after="0" w:line="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Employee</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Employer</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Rollovers</w:t>
      </w:r>
    </w:p>
    <w:p>
      <w:pPr>
        <w:spacing w:after="0" w:line="3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Total contributions</w:t>
      </w:r>
    </w:p>
    <w:p>
      <w:pPr>
        <w:spacing w:after="0" w:line="31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Total additions</w:t>
      </w:r>
    </w:p>
    <w:p>
      <w:pPr>
        <w:spacing w:after="0" w:line="2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color w:val="auto"/>
        </w:rPr>
        <w:t>Deductions from net assets attributable to:</w:t>
      </w:r>
    </w:p>
    <w:p>
      <w:pPr>
        <w:spacing w:after="0" w:line="3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Benefits paid to participants</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Administrative expenses</w:t>
      </w:r>
    </w:p>
    <w:p>
      <w:pPr>
        <w:spacing w:after="0" w:line="30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Total deductions</w:t>
      </w:r>
    </w:p>
    <w:p>
      <w:pPr>
        <w:spacing w:after="0" w:line="29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Increase in net assets available for plan benefits</w:t>
      </w:r>
    </w:p>
    <w:p>
      <w:pPr>
        <w:spacing w:after="0" w:line="28" w:lineRule="exact"/>
        <w:rPr>
          <w:sz w:val="20"/>
          <w:szCs w:val="20"/>
          <w:color w:val="auto"/>
        </w:rPr>
      </w:pPr>
    </w:p>
    <w:p>
      <w:pPr>
        <w:ind w:left="1680" w:right="1172"/>
        <w:spacing w:after="0" w:line="337" w:lineRule="auto"/>
        <w:rPr>
          <w:sz w:val="20"/>
          <w:szCs w:val="20"/>
          <w:color w:val="auto"/>
        </w:rPr>
      </w:pPr>
      <w:r>
        <w:rPr>
          <w:rFonts w:ascii="Times New Roman" w:cs="Times New Roman" w:eastAsia="Times New Roman" w:hAnsi="Times New Roman"/>
          <w:sz w:val="20"/>
          <w:szCs w:val="20"/>
          <w:color w:val="auto"/>
        </w:rPr>
        <w:t>Net assets available for plan benefits at beginning of year Net assets available for plan benefits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948" w:hanging="948"/>
        <w:spacing w:after="0"/>
        <w:tabs>
          <w:tab w:leader="none" w:pos="9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120,310</w:t>
      </w:r>
    </w:p>
    <w:p>
      <w:pPr>
        <w:spacing w:after="0" w:line="28" w:lineRule="exact"/>
        <w:rPr>
          <w:rFonts w:ascii="Times New Roman" w:cs="Times New Roman" w:eastAsia="Times New Roman" w:hAnsi="Times New Roman"/>
          <w:sz w:val="20"/>
          <w:szCs w:val="20"/>
          <w:color w:val="auto"/>
        </w:rPr>
      </w:pPr>
    </w:p>
    <w:p>
      <w:pPr>
        <w:ind w:left="114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1,098</w:t>
      </w:r>
    </w:p>
    <w:p>
      <w:pPr>
        <w:spacing w:after="0" w:line="281"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20"/>
          <w:szCs w:val="20"/>
          <w:color w:val="auto"/>
        </w:rPr>
        <w:t>49,748</w:t>
      </w:r>
    </w:p>
    <w:p>
      <w:pPr>
        <w:spacing w:after="0" w:line="28"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20"/>
          <w:szCs w:val="20"/>
          <w:color w:val="auto"/>
        </w:rPr>
        <w:t>5,735</w:t>
      </w:r>
    </w:p>
    <w:p>
      <w:pPr>
        <w:spacing w:after="0" w:line="27"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20"/>
          <w:szCs w:val="20"/>
          <w:color w:val="auto"/>
        </w:rPr>
        <w:t>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071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8"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20"/>
          <w:szCs w:val="20"/>
          <w:color w:val="auto"/>
        </w:rPr>
        <w:t>59,293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194310</wp:posOffset>
            </wp:positionV>
            <wp:extent cx="1071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90"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180,701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22860</wp:posOffset>
            </wp:positionV>
            <wp:extent cx="1071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20"/>
          <w:szCs w:val="20"/>
          <w:color w:val="auto"/>
        </w:rPr>
        <w:t>(62,538)</w:t>
      </w:r>
    </w:p>
    <w:p>
      <w:pPr>
        <w:spacing w:after="0" w:line="28"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20"/>
          <w:szCs w:val="20"/>
          <w:color w:val="auto"/>
        </w:rPr>
        <w:t>(670)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193040</wp:posOffset>
            </wp:positionV>
            <wp:extent cx="1071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8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9"/>
          <w:szCs w:val="19"/>
          <w:color w:val="auto"/>
        </w:rPr>
        <w:t>(63,208)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29845</wp:posOffset>
            </wp:positionV>
            <wp:extent cx="10718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88"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117,493</w:t>
      </w:r>
    </w:p>
    <w:p>
      <w:pPr>
        <w:spacing w:after="0" w:line="28"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20"/>
          <w:szCs w:val="20"/>
          <w:color w:val="auto"/>
        </w:rPr>
        <w:t>1,025,322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071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8" w:lineRule="exact"/>
        <w:rPr>
          <w:sz w:val="20"/>
          <w:szCs w:val="20"/>
          <w:color w:val="auto"/>
        </w:rPr>
      </w:pPr>
    </w:p>
    <w:p>
      <w:pPr>
        <w:ind w:left="808" w:hanging="808"/>
        <w:spacing w:after="0"/>
        <w:tabs>
          <w:tab w:leader="none" w:pos="8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1,142,815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22860</wp:posOffset>
            </wp:positionV>
            <wp:extent cx="1071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48260</wp:posOffset>
            </wp:positionV>
            <wp:extent cx="10718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347" w:lineRule="exact"/>
        <w:rPr>
          <w:sz w:val="20"/>
          <w:szCs w:val="20"/>
          <w:color w:val="auto"/>
        </w:rPr>
      </w:pPr>
    </w:p>
    <w:p>
      <w:pPr>
        <w:sectPr>
          <w:pgSz w:w="11900" w:h="16838" w:orient="portrait"/>
          <w:cols w:equalWidth="0" w:num="2">
            <w:col w:w="7392" w:space="720"/>
            <w:col w:w="2027"/>
          </w:cols>
          <w:pgMar w:left="320" w:top="121" w:right="1440" w:bottom="1440" w:gutter="0" w:footer="0" w:header="0"/>
          <w:type w:val="continuous"/>
        </w:sectPr>
      </w:pPr>
    </w:p>
    <w:p>
      <w:pPr>
        <w:spacing w:after="0" w:line="30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color w:val="auto"/>
        </w:rPr>
        <w:t>See accompanying notes to financial statements.</w:t>
      </w:r>
    </w:p>
    <w:p>
      <w:pPr>
        <w:spacing w:after="0" w:line="200" w:lineRule="exact"/>
        <w:rPr>
          <w:sz w:val="20"/>
          <w:szCs w:val="20"/>
          <w:color w:val="auto"/>
        </w:rPr>
      </w:pPr>
    </w:p>
    <w:p>
      <w:pPr>
        <w:spacing w:after="0" w:line="3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Plan and Benefits</w:t>
      </w:r>
    </w:p>
    <w:p>
      <w:pPr>
        <w:spacing w:after="0" w:line="125"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The following description of the NVR, Inc. Profit Sharing Plan (the “Plan” or “PSP”) provides only general information. Participants should refer to the Plan document for a more complete description of the Plan's provisions.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1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Plan is a defined contribution, profit-sharing retirement plan, and covers substantially all employees of NVR, Inc. and its affiliated companies ("NVR", the "Company” or "Employer"). The investments of the PSP, along with the investments of the NVR, Inc. Employee Stock Ownership Plan ("ESOP") are held within the NVR, Inc. Profit Sharing Plan and ESOP Master Trust ("Master Trust"). Fidelity Management Trust Company ("Fidelity") is the trustee and provides recordkeeping services for the Plan. Additionally, Fidelity Investments Institutional Operating Company, Inc., provides certain other recordkeeping services for the Plan. Fidelity maintains a separate account reflecting the equitable share of each plan's investments within the Master Trust and reports the Plan’s share of investments to the Plan. The Plan is administered by the Profit Sharing Committee (the "Plan Administrator"), which is designated by the Board of Directors of NVR, Inc. (the “Board”). The Plan is subject to the provisions of the Employee Retirement Income Security Act of 1974, as amended (“ERISA”).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Plan year begins each January 1st and ends each December 31st ("Plan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Eligibility</w:t>
      </w:r>
    </w:p>
    <w:p>
      <w:pPr>
        <w:spacing w:after="0" w:line="12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All full-time and part-time employees are eligible to participate in the Plan immediately upon employment. The Plan excludes any employee covered by a collective bargaining agreement negotiated in good faith with the Company and leased employees.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Contributions</w:t>
      </w:r>
    </w:p>
    <w:p>
      <w:pPr>
        <w:spacing w:after="0" w:line="11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The Plan provides for eligible Plan participants to make voluntary salary deferral contributions (“VSDC”) from 1% to 50% of their current salary on a combined pre-tax, Roth and post-tax basis into the Plan for investment. All investment funds provided in the Plan are available for employee VSDC. A participant's pre-tax and/or Roth deferral was limited to a maximum contribution of $23.5 during 2025 and $23.0 during 2024. Participants who reached age 50 or older before the close of the calendar year and have deferred the maximum amount allowed under the Plan have the option to make additional pre-tax and/or Roth salary deferrals. The maximum “catch-up” contribution was $7.5 during 2025 and 2024. Participants may change their salary deferral percentages periodically, but participants generally cannot withdraw fund balances before termination, retirement, death or total permanent disability unless certain hardship conditions exist. At December 31, 2025 and 2024, refunds of $24 and $58, respectively, were due to participants for excess contributions made during the Plan Year and are reflected as a reduction of employee contributions in the Statement of Changes in Net Assets Available for Plan Benefits and in the “Due to participants” line item on the Statements of Net Assets Available for Plan Benefits.</w:t>
      </w:r>
    </w:p>
    <w:p>
      <w:pPr>
        <w:spacing w:after="0" w:line="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accordance with the Plan, the Company may declare a matching contribution. In 2025, the Company matched up to the first one thousand dollars of individual participants’ pre-tax and/or Roth salary deferrals. The Company does not make matching contributions on post-tax salary deferrals. NVR contributed $5,735 in matching contributions during 2025. Matching contributions are invested in participant accounts in the Plan as directed by participants.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Vesting and Forfeitures</w:t>
      </w:r>
    </w:p>
    <w:p>
      <w:pPr>
        <w:spacing w:after="0" w:line="11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Employees vest in Company matching contributions at the rate of 20% per year beginning with the completion of the second year of service. Employees also become 100% vested upon reaching age 60 or upon an employee’s termination on account of death or total disability. Participants are fully vested at all times in their VSDC account balances. Forfeitures of unvested amounts relating to terminated employees are used to pay certain recordkeeping and investment consultant fees. The remainder are allocated annually, in the subsequent fiscal year, to all eligible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participants in the Plan as of December 31, based upon the proportion that the participant’s compensation for that Plan Year bears to the total compensation received for such year by all participants sharing in the allocation, subject to the annual addition limitation and nondiscrimination requirement imposed under the Internal Revenue Code. Forfeitures of $1,298 and $735 in 2025 and 2024, respectively, were allocated to eligible participant accounts in 2025 and 2024,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Options</w:t>
      </w:r>
    </w:p>
    <w:p>
      <w:pPr>
        <w:spacing w:after="0" w:line="11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The Plan Administrator selects the number and type of investment options available. Fidelity is responsible for maintaining an account balance for each participant. Each participant instructs Fidelity how to allocate their account balances. Fidelity values account balances daily. Each investment fund's income and expenses are allocated to participant accounts daily in relation to their respective account balances. Each account balance is based on the value of the underlying investments in each account. Generally, participants may elect to change how future contributions are allocated or may transfer current account balances among investment options.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Payments of Benefits</w:t>
      </w:r>
    </w:p>
    <w:p>
      <w:pPr>
        <w:spacing w:after="0" w:line="1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Depending on various provisions and restrictions of the Plan, the method of benefit payment can be in the form of a lump-sum distribution or based on a deferred payment schedule. Amounts remaining in the Plan as a result of deferred payments are subject to daily fluctuations in value based on the underlying investments in each account.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Notes Receivable from Participants</w:t>
      </w:r>
    </w:p>
    <w:p>
      <w:pPr>
        <w:spacing w:after="0" w:line="11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Loans are made available to all participants on a nondiscriminatory basis in accordance with the specific provisions set forth in the Plan. The amount of a loan generally cannot exceed the lesser of $50 or one-half of a participant's total vested account balance as of the loan origination date, and participants may have a maximum of two loans outstanding at any time. Generally, a loan bears interest at a fixed rate which is determined by the Plan Administrator. Such rate for all outstanding loans was prime plus 1% set at the date of loan origination. All loans are subject to specific repayment terms and are secured by the participant's non-forfeitable interest in his/her account equivalent to the principal amount of the loan. Loan repayment terms range from one to five years with the exception of loans taken for the purchase of a primary</w:t>
      </w:r>
    </w:p>
    <w:p>
      <w:pPr>
        <w:spacing w:after="0" w:line="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residence, in which case the repayment terms may be extended for a term of up to fifteen years. For participant loans that become delinquent, are not cured and result in default, the amount of the unpaid loan and interest due to the Plan will be a deemed distribution. Deemed distributions are reported as a taxable distribution and remain part of the participant's account balance until a distributable event occurs (i.e termination of employment). Participants must pay any outstanding loans in full upon termination of service with the Company. Loans not repaid within the time-frame specified by the Plan subsequent to termination are considered to be in default and treated as a distribution to the terminated participant. Participant loans are recorded at unpaid principal plus accrued interest.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Administrative Expenses</w:t>
      </w:r>
    </w:p>
    <w:p>
      <w:pPr>
        <w:spacing w:after="0" w:line="125" w:lineRule="exact"/>
        <w:rPr>
          <w:sz w:val="20"/>
          <w:szCs w:val="20"/>
          <w:color w:val="auto"/>
        </w:rPr>
      </w:pPr>
    </w:p>
    <w:p>
      <w:pPr>
        <w:ind w:right="800"/>
        <w:spacing w:after="0" w:line="310" w:lineRule="auto"/>
        <w:rPr>
          <w:sz w:val="20"/>
          <w:szCs w:val="20"/>
          <w:color w:val="auto"/>
        </w:rPr>
      </w:pPr>
      <w:r>
        <w:rPr>
          <w:rFonts w:ascii="Times New Roman" w:cs="Times New Roman" w:eastAsia="Times New Roman" w:hAnsi="Times New Roman"/>
          <w:sz w:val="19"/>
          <w:szCs w:val="19"/>
          <w:color w:val="auto"/>
        </w:rPr>
        <w:t>Loan origination fees, trustee fees and most recordkeeping fees are paid by Plan participants. Certain recordkeeping and investment consultant fees are paid by the Plan, from Plan forfeitures. All other administrative expenses are paid directly by the Company.</w:t>
      </w:r>
    </w:p>
    <w:p>
      <w:pPr>
        <w:spacing w:after="0" w:line="120" w:lineRule="exact"/>
        <w:rPr>
          <w:sz w:val="20"/>
          <w:szCs w:val="20"/>
          <w:color w:val="auto"/>
        </w:rPr>
      </w:pPr>
    </w:p>
    <w:p>
      <w:pPr>
        <w:ind w:right="7180" w:firstLine="8"/>
        <w:spacing w:after="0" w:line="361" w:lineRule="auto"/>
        <w:tabs>
          <w:tab w:leader="none" w:pos="346"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Basis of Presentation</w:t>
      </w:r>
    </w:p>
    <w:p>
      <w:pPr>
        <w:spacing w:after="0" w:line="1" w:lineRule="exact"/>
        <w:rPr>
          <w:sz w:val="20"/>
          <w:szCs w:val="20"/>
          <w:color w:val="auto"/>
        </w:rPr>
      </w:pPr>
    </w:p>
    <w:p>
      <w:pPr>
        <w:ind w:right="720"/>
        <w:spacing w:after="0" w:line="283" w:lineRule="auto"/>
        <w:rPr>
          <w:sz w:val="20"/>
          <w:szCs w:val="20"/>
          <w:color w:val="auto"/>
        </w:rPr>
      </w:pPr>
      <w:r>
        <w:rPr>
          <w:rFonts w:ascii="Times New Roman" w:cs="Times New Roman" w:eastAsia="Times New Roman" w:hAnsi="Times New Roman"/>
          <w:sz w:val="20"/>
          <w:szCs w:val="20"/>
          <w:color w:val="auto"/>
        </w:rPr>
        <w:t>The accompanying financial statements have been prepared on the accrual basis of accounting in conformity with generally accepted accounting principles in the United States of America ("GAAP").</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 in Preparation of Financial Statements</w:t>
      </w:r>
    </w:p>
    <w:p>
      <w:pPr>
        <w:spacing w:after="0" w:line="125"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GAAP requires the Plan Administrator to make estimates and assumptions that affect the reported amounts of assets and liabilities and disclosure of contingent assets and liabilities at the date of the financial statements and the reported amounts of Plan activity during the reporting period. Accordingly, actual results may differ from those estimates.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income from investments is recorded on the accrual basis of accounting. Dividend income is recorded on the ex-dividend 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 transactions are accounted for on a trade-date basis.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Valuation and Transactions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investments are reported at fair value.</w:t>
      </w:r>
    </w:p>
    <w:p>
      <w:pPr>
        <w:spacing w:after="0" w:line="25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Net appreciation or depreciation in fair value of investments includes the Plan’s gains and losses on investments bought and sold as well as held during the year. Net appreciation or depreciation is measured and recognized in the Statement of Changes in Net Assets Available for Plan Benefits as the difference between the fair value of investments at the investment sale date or re-measured at the financial statement date and the fair value at the beginning of the Plan Year or the original measurement at the investment purchase date if purchased during the Plan Year. Purchase and sale transactions are recorded on a trade-date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1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Accounting Standard Codification (“ASC”) Topic 820 defines fair value as the price that would be received to sell an asset or paid to transfer a liability in the principal market for the asset or liability or, in the absence of a principal market, the most advantageous market for the asset or liability, in an orderly transaction between market participants at the measurement date. ASC Topic 820 establishes a fair value hierarchy for those instruments measured at fair value that distinguishes between assumptions based on market data (observable inputs) and the Plan’s assumptions (unobservable inputs). The hierarchy consists of three levels: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21" w:lineRule="exact"/>
        <w:rPr>
          <w:sz w:val="20"/>
          <w:szCs w:val="20"/>
          <w:color w:val="auto"/>
        </w:rPr>
      </w:pPr>
    </w:p>
    <w:p>
      <w:pPr>
        <w:ind w:left="1460" w:right="340"/>
        <w:spacing w:after="0" w:line="258" w:lineRule="auto"/>
        <w:rPr>
          <w:sz w:val="20"/>
          <w:szCs w:val="20"/>
          <w:color w:val="auto"/>
        </w:rPr>
      </w:pPr>
      <w:r>
        <w:rPr>
          <w:rFonts w:ascii="Times New Roman" w:cs="Times New Roman" w:eastAsia="Times New Roman" w:hAnsi="Times New Roman"/>
          <w:sz w:val="20"/>
          <w:szCs w:val="20"/>
          <w:color w:val="auto"/>
        </w:rPr>
        <w:t>Investments in registered investment companies, shares of the Company’s common stock, other common and preferred stock and cash are valued using quoted prices in active markets. The self-directed brokerage accounts are primarily comprised of individuals participant-directed investments, predominately in mutual funds, exchange-traded funds and common stocks, that are valued using quoted prices in active markets.</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w:t>
      </w:r>
    </w:p>
    <w:p>
      <w:pPr>
        <w:spacing w:after="0" w:line="1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color w:val="auto"/>
        </w:rPr>
        <w:t>The Master Trust has no investments valued using Level 2 inputs.</w:t>
      </w:r>
    </w:p>
    <w:p>
      <w:pPr>
        <w:spacing w:after="0" w:line="200" w:lineRule="exact"/>
        <w:rPr>
          <w:sz w:val="20"/>
          <w:szCs w:val="20"/>
          <w:color w:val="auto"/>
        </w:rPr>
      </w:pPr>
    </w:p>
    <w:p>
      <w:pPr>
        <w:spacing w:after="0" w:line="272" w:lineRule="exact"/>
        <w:rPr>
          <w:sz w:val="20"/>
          <w:szCs w:val="20"/>
          <w:color w:val="auto"/>
        </w:rPr>
      </w:pPr>
    </w:p>
    <w:p>
      <w:pPr>
        <w:ind w:left="1460" w:right="500" w:hanging="809"/>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estimates and assumptions developed by the Plan, which reflect those a market participant would use.</w:t>
      </w:r>
    </w:p>
    <w:p>
      <w:pPr>
        <w:spacing w:after="0" w:line="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color w:val="auto"/>
        </w:rPr>
        <w:t>The Master Trust has no investments valued using Level 3 inputs.</w:t>
      </w:r>
    </w:p>
    <w:p>
      <w:pPr>
        <w:spacing w:after="0" w:line="108"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20"/>
          <w:szCs w:val="20"/>
          <w:color w:val="auto"/>
        </w:rPr>
        <w:t>Common collective trusts ("CCTs") are valued using Net Asset Value ("NAV") as a practical expedient and are not categorized in the fair value hierarchy. NAV is provided by the fund's issuer and is based on the fair value of the underlying investments held by the fund less its liabilities. Participant directed withdrawals or exchanges may be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made on a daily basis, with no restrictions. In the event the Master Trust were to initiate a full redemption of any of the CCTs, the Plan must provide advance notice and for certain of the CCTs, the fund’s issuer reserves the right to temporarily delay withdrawal from the CCT in order to ensure that securities liquidations will be carried out in an orderly business manner. The CCTs have no unfunded commitments. As of December 31, 2025, the Master Trust had not provided the respective trustees with advance notice to terminate the Master Trust's investment in any of the CCT funds.</w:t>
      </w:r>
    </w:p>
    <w:p>
      <w:pPr>
        <w:spacing w:after="0" w:line="200" w:lineRule="exact"/>
        <w:rPr>
          <w:sz w:val="20"/>
          <w:szCs w:val="20"/>
          <w:color w:val="auto"/>
        </w:rPr>
      </w:pPr>
    </w:p>
    <w:p>
      <w:pPr>
        <w:spacing w:after="0" w:line="35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financial instruments in the Master Trust (see footnote 3 for discussion of the Master Trust) measured at fair value on a recurring basis, based on the fair value hierarchy as of December 31, 2025.</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2940" w:type="dxa"/>
            <w:vAlign w:val="bottom"/>
            <w:tcBorders>
              <w:bottom w:val="single" w:sz="8" w:color="auto"/>
            </w:tcBorders>
            <w:gridSpan w:val="7"/>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Basis of Fair Value Measurements</w:t>
            </w: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Level 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Level 2</w:t>
            </w:r>
          </w:p>
        </w:tc>
        <w:tc>
          <w:tcPr>
            <w:tcW w:w="20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Level 3</w:t>
            </w:r>
          </w:p>
        </w:tc>
        <w:tc>
          <w:tcPr>
            <w:tcW w:w="260" w:type="dxa"/>
            <w:vAlign w:val="bottom"/>
          </w:tcPr>
          <w:p>
            <w:pPr>
              <w:spacing w:after="0"/>
              <w:rPr>
                <w:sz w:val="21"/>
                <w:szCs w:val="21"/>
                <w:color w:val="auto"/>
              </w:rPr>
            </w:pPr>
          </w:p>
        </w:tc>
        <w:tc>
          <w:tcPr>
            <w:tcW w:w="10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36"/>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Fair Value Measurements:</w:t>
            </w:r>
          </w:p>
        </w:tc>
        <w:tc>
          <w:tcPr>
            <w:tcW w:w="22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760" w:type="dxa"/>
            <w:vAlign w:val="bottom"/>
          </w:tcPr>
          <w:p>
            <w:pPr>
              <w:ind w:left="320"/>
              <w:spacing w:after="0" w:line="193" w:lineRule="exact"/>
              <w:rPr>
                <w:sz w:val="20"/>
                <w:szCs w:val="20"/>
                <w:color w:val="auto"/>
              </w:rPr>
            </w:pPr>
            <w:r>
              <w:rPr>
                <w:rFonts w:ascii="Times New Roman" w:cs="Times New Roman" w:eastAsia="Times New Roman" w:hAnsi="Times New Roman"/>
                <w:sz w:val="20"/>
                <w:szCs w:val="20"/>
                <w:color w:val="auto"/>
              </w:rPr>
              <w:t>Investments in registered investment</w:t>
            </w:r>
          </w:p>
        </w:tc>
        <w:tc>
          <w:tcPr>
            <w:tcW w:w="2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309,745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restart"/>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6"/>
                <w:szCs w:val="16"/>
                <w:color w:val="auto"/>
              </w:rPr>
            </w:pPr>
          </w:p>
        </w:tc>
        <w:tc>
          <w:tcPr>
            <w:tcW w:w="1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309,745</w:t>
            </w:r>
          </w:p>
        </w:tc>
        <w:tc>
          <w:tcPr>
            <w:tcW w:w="0" w:type="dxa"/>
            <w:vAlign w:val="bottom"/>
          </w:tcPr>
          <w:p>
            <w:pPr>
              <w:spacing w:after="0"/>
              <w:rPr>
                <w:sz w:val="1"/>
                <w:szCs w:val="1"/>
                <w:color w:val="auto"/>
              </w:rPr>
            </w:pPr>
          </w:p>
        </w:tc>
      </w:tr>
      <w:tr>
        <w:trPr>
          <w:trHeight w:val="252"/>
        </w:trPr>
        <w:tc>
          <w:tcPr>
            <w:tcW w:w="47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companies</w:t>
            </w:r>
          </w:p>
        </w:tc>
        <w:tc>
          <w:tcPr>
            <w:tcW w:w="2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NVR, Inc common stock</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1,256,922</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1,256,922</w:t>
            </w:r>
          </w:p>
        </w:tc>
        <w:tc>
          <w:tcPr>
            <w:tcW w:w="0" w:type="dxa"/>
            <w:vAlign w:val="bottom"/>
          </w:tcPr>
          <w:p>
            <w:pPr>
              <w:spacing w:after="0"/>
              <w:rPr>
                <w:sz w:val="1"/>
                <w:szCs w:val="1"/>
                <w:color w:val="auto"/>
              </w:rPr>
            </w:pPr>
          </w:p>
        </w:tc>
      </w:tr>
      <w:tr>
        <w:trPr>
          <w:trHeight w:val="256"/>
        </w:trPr>
        <w:tc>
          <w:tcPr>
            <w:tcW w:w="47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Self-directed brokerage accounts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38,321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38,321</w:t>
            </w: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Cash</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173"/>
        </w:trPr>
        <w:tc>
          <w:tcPr>
            <w:tcW w:w="4760" w:type="dxa"/>
            <w:vAlign w:val="bottom"/>
          </w:tcPr>
          <w:p>
            <w:pPr>
              <w:ind w:left="460"/>
              <w:spacing w:after="0" w:line="173" w:lineRule="exact"/>
              <w:rPr>
                <w:sz w:val="20"/>
                <w:szCs w:val="20"/>
                <w:color w:val="auto"/>
              </w:rPr>
            </w:pPr>
            <w:r>
              <w:rPr>
                <w:rFonts w:ascii="Times New Roman" w:cs="Times New Roman" w:eastAsia="Times New Roman" w:hAnsi="Times New Roman"/>
                <w:sz w:val="20"/>
                <w:szCs w:val="20"/>
                <w:color w:val="auto"/>
              </w:rPr>
              <w:t>Total investments measured in the fair</w:t>
            </w:r>
          </w:p>
        </w:tc>
        <w:tc>
          <w:tcPr>
            <w:tcW w:w="2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1,605,099</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1,605,099</w:t>
            </w:r>
          </w:p>
        </w:tc>
        <w:tc>
          <w:tcPr>
            <w:tcW w:w="0" w:type="dxa"/>
            <w:vAlign w:val="bottom"/>
          </w:tcPr>
          <w:p>
            <w:pPr>
              <w:spacing w:after="0"/>
              <w:rPr>
                <w:sz w:val="1"/>
                <w:szCs w:val="1"/>
                <w:color w:val="auto"/>
              </w:rPr>
            </w:pPr>
          </w:p>
        </w:tc>
      </w:tr>
      <w:tr>
        <w:trPr>
          <w:trHeight w:val="252"/>
        </w:trPr>
        <w:tc>
          <w:tcPr>
            <w:tcW w:w="47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value hierarchy</w:t>
            </w:r>
          </w:p>
        </w:tc>
        <w:tc>
          <w:tcPr>
            <w:tcW w:w="2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(1):</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Investments in common/collective trusts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660,462</w:t>
            </w:r>
          </w:p>
        </w:tc>
        <w:tc>
          <w:tcPr>
            <w:tcW w:w="0" w:type="dxa"/>
            <w:vAlign w:val="bottom"/>
          </w:tcPr>
          <w:p>
            <w:pPr>
              <w:spacing w:after="0"/>
              <w:rPr>
                <w:sz w:val="1"/>
                <w:szCs w:val="1"/>
                <w:color w:val="auto"/>
              </w:rPr>
            </w:pPr>
          </w:p>
        </w:tc>
      </w:tr>
      <w:tr>
        <w:trPr>
          <w:trHeight w:val="275"/>
        </w:trPr>
        <w:tc>
          <w:tcPr>
            <w:tcW w:w="47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 investments in the Master Trust</w:t>
            </w:r>
          </w:p>
        </w:tc>
        <w:tc>
          <w:tcPr>
            <w:tcW w:w="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1,605,099</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2,265,561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financial instruments in the Master Trust measured at fair value on a recurring basis, based on the fair value hierarchy as of December 31, 2024.</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2940" w:type="dxa"/>
            <w:vAlign w:val="bottom"/>
            <w:tcBorders>
              <w:bottom w:val="single" w:sz="8" w:color="auto"/>
            </w:tcBorders>
            <w:gridSpan w:val="7"/>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Basis of Fair Value Measurements</w:t>
            </w: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Level 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Level 2</w:t>
            </w:r>
          </w:p>
        </w:tc>
        <w:tc>
          <w:tcPr>
            <w:tcW w:w="20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Level 3</w:t>
            </w:r>
          </w:p>
        </w:tc>
        <w:tc>
          <w:tcPr>
            <w:tcW w:w="260" w:type="dxa"/>
            <w:vAlign w:val="bottom"/>
          </w:tcPr>
          <w:p>
            <w:pPr>
              <w:spacing w:after="0"/>
              <w:rPr>
                <w:sz w:val="21"/>
                <w:szCs w:val="21"/>
                <w:color w:val="auto"/>
              </w:rPr>
            </w:pPr>
          </w:p>
        </w:tc>
        <w:tc>
          <w:tcPr>
            <w:tcW w:w="10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37"/>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Fair Value Measurements:</w:t>
            </w:r>
          </w:p>
        </w:tc>
        <w:tc>
          <w:tcPr>
            <w:tcW w:w="22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760" w:type="dxa"/>
            <w:vAlign w:val="bottom"/>
          </w:tcPr>
          <w:p>
            <w:pPr>
              <w:ind w:left="320"/>
              <w:spacing w:after="0" w:line="193" w:lineRule="exact"/>
              <w:rPr>
                <w:sz w:val="20"/>
                <w:szCs w:val="20"/>
                <w:color w:val="auto"/>
              </w:rPr>
            </w:pPr>
            <w:r>
              <w:rPr>
                <w:rFonts w:ascii="Times New Roman" w:cs="Times New Roman" w:eastAsia="Times New Roman" w:hAnsi="Times New Roman"/>
                <w:sz w:val="20"/>
                <w:szCs w:val="20"/>
                <w:color w:val="auto"/>
              </w:rPr>
              <w:t>Investments in registered investment</w:t>
            </w:r>
          </w:p>
        </w:tc>
        <w:tc>
          <w:tcPr>
            <w:tcW w:w="2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252,895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restart"/>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6"/>
                <w:szCs w:val="16"/>
                <w:color w:val="auto"/>
              </w:rPr>
            </w:pPr>
          </w:p>
        </w:tc>
        <w:tc>
          <w:tcPr>
            <w:tcW w:w="1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252,895</w:t>
            </w:r>
          </w:p>
        </w:tc>
        <w:tc>
          <w:tcPr>
            <w:tcW w:w="0" w:type="dxa"/>
            <w:vAlign w:val="bottom"/>
          </w:tcPr>
          <w:p>
            <w:pPr>
              <w:spacing w:after="0"/>
              <w:rPr>
                <w:sz w:val="1"/>
                <w:szCs w:val="1"/>
                <w:color w:val="auto"/>
              </w:rPr>
            </w:pPr>
          </w:p>
        </w:tc>
      </w:tr>
      <w:tr>
        <w:trPr>
          <w:trHeight w:val="252"/>
        </w:trPr>
        <w:tc>
          <w:tcPr>
            <w:tcW w:w="47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companies</w:t>
            </w:r>
          </w:p>
        </w:tc>
        <w:tc>
          <w:tcPr>
            <w:tcW w:w="2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NVR, Inc common stock</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1,463,267</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1,463,267</w:t>
            </w:r>
          </w:p>
        </w:tc>
        <w:tc>
          <w:tcPr>
            <w:tcW w:w="0" w:type="dxa"/>
            <w:vAlign w:val="bottom"/>
          </w:tcPr>
          <w:p>
            <w:pPr>
              <w:spacing w:after="0"/>
              <w:rPr>
                <w:sz w:val="1"/>
                <w:szCs w:val="1"/>
                <w:color w:val="auto"/>
              </w:rPr>
            </w:pPr>
          </w:p>
        </w:tc>
      </w:tr>
      <w:tr>
        <w:trPr>
          <w:trHeight w:val="257"/>
        </w:trPr>
        <w:tc>
          <w:tcPr>
            <w:tcW w:w="47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Self-directed brokerage accounts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29,501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29,501</w:t>
            </w:r>
          </w:p>
        </w:tc>
        <w:tc>
          <w:tcPr>
            <w:tcW w:w="0" w:type="dxa"/>
            <w:vAlign w:val="bottom"/>
          </w:tcPr>
          <w:p>
            <w:pPr>
              <w:spacing w:after="0"/>
              <w:rPr>
                <w:sz w:val="1"/>
                <w:szCs w:val="1"/>
                <w:color w:val="auto"/>
              </w:rPr>
            </w:pPr>
          </w:p>
        </w:tc>
      </w:tr>
      <w:tr>
        <w:trPr>
          <w:trHeight w:val="256"/>
        </w:trPr>
        <w:tc>
          <w:tcPr>
            <w:tcW w:w="4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Cash</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173"/>
        </w:trPr>
        <w:tc>
          <w:tcPr>
            <w:tcW w:w="4760" w:type="dxa"/>
            <w:vAlign w:val="bottom"/>
          </w:tcPr>
          <w:p>
            <w:pPr>
              <w:ind w:left="460"/>
              <w:spacing w:after="0" w:line="173" w:lineRule="exact"/>
              <w:rPr>
                <w:sz w:val="20"/>
                <w:szCs w:val="20"/>
                <w:color w:val="auto"/>
              </w:rPr>
            </w:pPr>
            <w:r>
              <w:rPr>
                <w:rFonts w:ascii="Times New Roman" w:cs="Times New Roman" w:eastAsia="Times New Roman" w:hAnsi="Times New Roman"/>
                <w:sz w:val="20"/>
                <w:szCs w:val="20"/>
                <w:color w:val="auto"/>
              </w:rPr>
              <w:t>Total investments measured in the fair</w:t>
            </w:r>
          </w:p>
        </w:tc>
        <w:tc>
          <w:tcPr>
            <w:tcW w:w="2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1,745,780</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1,745,780</w:t>
            </w:r>
          </w:p>
        </w:tc>
        <w:tc>
          <w:tcPr>
            <w:tcW w:w="0" w:type="dxa"/>
            <w:vAlign w:val="bottom"/>
          </w:tcPr>
          <w:p>
            <w:pPr>
              <w:spacing w:after="0"/>
              <w:rPr>
                <w:sz w:val="1"/>
                <w:szCs w:val="1"/>
                <w:color w:val="auto"/>
              </w:rPr>
            </w:pPr>
          </w:p>
        </w:tc>
      </w:tr>
      <w:tr>
        <w:trPr>
          <w:trHeight w:val="252"/>
        </w:trPr>
        <w:tc>
          <w:tcPr>
            <w:tcW w:w="47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value hierarchy</w:t>
            </w:r>
          </w:p>
        </w:tc>
        <w:tc>
          <w:tcPr>
            <w:tcW w:w="2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(1):</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Investments in common/collective trusts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569,743</w:t>
            </w:r>
          </w:p>
        </w:tc>
        <w:tc>
          <w:tcPr>
            <w:tcW w:w="0" w:type="dxa"/>
            <w:vAlign w:val="bottom"/>
          </w:tcPr>
          <w:p>
            <w:pPr>
              <w:spacing w:after="0"/>
              <w:rPr>
                <w:sz w:val="1"/>
                <w:szCs w:val="1"/>
                <w:color w:val="auto"/>
              </w:rPr>
            </w:pPr>
          </w:p>
        </w:tc>
      </w:tr>
      <w:tr>
        <w:trPr>
          <w:trHeight w:val="275"/>
        </w:trPr>
        <w:tc>
          <w:tcPr>
            <w:tcW w:w="47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 investments in the Master Trust</w:t>
            </w:r>
          </w:p>
        </w:tc>
        <w:tc>
          <w:tcPr>
            <w:tcW w:w="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1,745,780</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2,315,523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 w:right="120" w:hanging="332"/>
        <w:spacing w:after="0" w:line="269" w:lineRule="auto"/>
        <w:tabs>
          <w:tab w:leader="none" w:pos="37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The fair value amounts presented in this table are intended to permit reconciliation of the fair value hierarchy to the total of investments in the Master Trust at fair value as presented in Note 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Payments of Benefits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as deductions when paid.</w:t>
      </w:r>
    </w:p>
    <w:p>
      <w:pPr>
        <w:spacing w:after="0" w:line="200" w:lineRule="exact"/>
        <w:rPr>
          <w:sz w:val="20"/>
          <w:szCs w:val="20"/>
          <w:color w:val="auto"/>
        </w:rPr>
      </w:pPr>
    </w:p>
    <w:p>
      <w:pPr>
        <w:spacing w:after="0" w:line="3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Investments</w:t>
      </w:r>
    </w:p>
    <w:p>
      <w:pPr>
        <w:spacing w:after="0" w:line="1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Plan’s share of changes in the Master Trust and the value of the Master Trust have been reported to the Plan by the trustee as having been determined through the use of fair values for all investments. The divided interest of each Plan in the Master Trust is increased or decreased (as the case may be):</w:t>
      </w:r>
    </w:p>
    <w:p>
      <w:pPr>
        <w:spacing w:after="0" w:line="73" w:lineRule="exact"/>
        <w:rPr>
          <w:sz w:val="20"/>
          <w:szCs w:val="20"/>
          <w:color w:val="auto"/>
        </w:rPr>
      </w:pPr>
    </w:p>
    <w:p>
      <w:pPr>
        <w:ind w:left="1300" w:right="860" w:hanging="644"/>
        <w:spacing w:after="0" w:line="283" w:lineRule="auto"/>
        <w:tabs>
          <w:tab w:leader="none" w:pos="129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entire amount of every contribution received on behalf of the Plan, every benefit payment, or other expense attributable solely to such Plan, and every other transaction relating only to such Plan; and</w:t>
      </w:r>
    </w:p>
    <w:p>
      <w:pPr>
        <w:spacing w:after="0" w:line="3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accrued income, gain or loss, and administrative expense attributable solely to such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investments held by the Master Trust and the Plan's interest in each of those investments at fair value as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266"/>
        </w:trPr>
        <w:tc>
          <w:tcPr>
            <w:tcW w:w="38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Master Trust</w:t>
            </w:r>
          </w:p>
        </w:tc>
        <w:tc>
          <w:tcPr>
            <w:tcW w:w="108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Plan's Interest</w:t>
            </w: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38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NVR, Inc. common stock</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1,256,922</w:t>
            </w: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1,463,267</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219,834</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252,978</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Investments in registered investment</w:t>
            </w:r>
          </w:p>
        </w:tc>
        <w:tc>
          <w:tcPr>
            <w:tcW w:w="36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309,745</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252,895</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271,135</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212,852</w:t>
            </w:r>
          </w:p>
        </w:tc>
        <w:tc>
          <w:tcPr>
            <w:tcW w:w="0" w:type="dxa"/>
            <w:vAlign w:val="bottom"/>
          </w:tcPr>
          <w:p>
            <w:pPr>
              <w:spacing w:after="0"/>
              <w:rPr>
                <w:sz w:val="1"/>
                <w:szCs w:val="1"/>
                <w:color w:val="auto"/>
              </w:rPr>
            </w:pPr>
          </w:p>
        </w:tc>
      </w:tr>
      <w:tr>
        <w:trPr>
          <w:trHeight w:val="252"/>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companies</w:t>
            </w: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in common/collective trusts</w:t>
            </w: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660,462</w:t>
            </w: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569,743</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609,328</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525,749</w:t>
            </w:r>
          </w:p>
        </w:tc>
        <w:tc>
          <w:tcPr>
            <w:tcW w:w="0" w:type="dxa"/>
            <w:vAlign w:val="bottom"/>
          </w:tcPr>
          <w:p>
            <w:pPr>
              <w:spacing w:after="0"/>
              <w:rPr>
                <w:sz w:val="1"/>
                <w:szCs w:val="1"/>
                <w:color w:val="auto"/>
              </w:rPr>
            </w:pPr>
          </w:p>
        </w:tc>
      </w:tr>
      <w:tr>
        <w:trPr>
          <w:trHeight w:val="256"/>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accounts</w:t>
            </w: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38,321</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29,501</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29,202</w:t>
            </w: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20,951</w:t>
            </w: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18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3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50"/>
        </w:trPr>
        <w:tc>
          <w:tcPr>
            <w:tcW w:w="3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2,265,561</w:t>
            </w:r>
          </w:p>
        </w:tc>
        <w:tc>
          <w:tcPr>
            <w:tcW w:w="180" w:type="dxa"/>
            <w:vAlign w:val="bottom"/>
          </w:tcPr>
          <w:p>
            <w:pPr>
              <w:spacing w:after="0"/>
              <w:rPr>
                <w:sz w:val="21"/>
                <w:szCs w:val="21"/>
                <w:color w:val="auto"/>
              </w:rPr>
            </w:pPr>
          </w:p>
        </w:tc>
        <w:tc>
          <w:tcPr>
            <w:tcW w:w="5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2,315,523</w:t>
            </w:r>
          </w:p>
        </w:tc>
        <w:tc>
          <w:tcPr>
            <w:tcW w:w="320" w:type="dxa"/>
            <w:vAlign w:val="bottom"/>
          </w:tcPr>
          <w:p>
            <w:pPr>
              <w:spacing w:after="0"/>
              <w:rPr>
                <w:sz w:val="21"/>
                <w:szCs w:val="21"/>
                <w:color w:val="auto"/>
              </w:rPr>
            </w:pP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1,129,584</w:t>
            </w:r>
          </w:p>
        </w:tc>
        <w:tc>
          <w:tcPr>
            <w:tcW w:w="180" w:type="dxa"/>
            <w:vAlign w:val="bottom"/>
          </w:tcPr>
          <w:p>
            <w:pPr>
              <w:spacing w:after="0"/>
              <w:rPr>
                <w:sz w:val="21"/>
                <w:szCs w:val="21"/>
                <w:color w:val="auto"/>
              </w:rPr>
            </w:pPr>
          </w:p>
        </w:tc>
        <w:tc>
          <w:tcPr>
            <w:tcW w:w="5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1,012,619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investment gain for the Master Trust and the Plan's portion for the year ended December 31, 2025 was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b w:val="1"/>
                <w:bCs w:val="1"/>
                <w:color w:val="auto"/>
              </w:rPr>
              <w:t>Master Trust</w:t>
            </w:r>
          </w:p>
        </w:tc>
        <w:tc>
          <w:tcPr>
            <w:tcW w:w="24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Plan's Interest</w:t>
            </w: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investment gain:</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7"/>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Net (depreciation) appreciation in fair value of investments</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shd w:val="clear" w:color="auto" w:fill="CCEEFF"/>
          </w:tcPr>
          <w:p>
            <w:pPr>
              <w:jc w:val="center"/>
              <w:ind w:left="901"/>
              <w:spacing w:after="0"/>
              <w:rPr>
                <w:sz w:val="20"/>
                <w:szCs w:val="20"/>
                <w:color w:val="auto"/>
              </w:rPr>
            </w:pPr>
            <w:r>
              <w:rPr>
                <w:rFonts w:ascii="Times New Roman" w:cs="Times New Roman" w:eastAsia="Times New Roman" w:hAnsi="Times New Roman"/>
                <w:sz w:val="20"/>
                <w:szCs w:val="20"/>
                <w:color w:val="auto"/>
                <w:w w:val="99"/>
              </w:rPr>
              <w:t>(7,991)</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112,976</w:t>
            </w:r>
          </w:p>
        </w:tc>
      </w:tr>
      <w:tr>
        <w:trPr>
          <w:trHeight w:val="256"/>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Dividend income</w:t>
            </w: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961"/>
              <w:spacing w:after="0"/>
              <w:rPr>
                <w:sz w:val="20"/>
                <w:szCs w:val="20"/>
                <w:color w:val="auto"/>
              </w:rPr>
            </w:pPr>
            <w:r>
              <w:rPr>
                <w:rFonts w:ascii="Times New Roman" w:cs="Times New Roman" w:eastAsia="Times New Roman" w:hAnsi="Times New Roman"/>
                <w:sz w:val="20"/>
                <w:szCs w:val="20"/>
                <w:color w:val="auto"/>
                <w:w w:val="97"/>
              </w:rPr>
              <w:t>9,024</w:t>
            </w: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7,334</w:t>
            </w:r>
          </w:p>
        </w:tc>
      </w:tr>
      <w:tr>
        <w:trPr>
          <w:trHeight w:val="275"/>
        </w:trPr>
        <w:tc>
          <w:tcPr>
            <w:tcW w:w="6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Net investment gain in Master Trust</w:t>
            </w: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tcBorders>
              <w:bottom w:val="single" w:sz="8" w:color="auto"/>
            </w:tcBorders>
            <w:shd w:val="clear" w:color="auto" w:fill="CCEEFF"/>
          </w:tcPr>
          <w:p>
            <w:pPr>
              <w:jc w:val="center"/>
              <w:ind w:left="961"/>
              <w:spacing w:after="0"/>
              <w:rPr>
                <w:sz w:val="20"/>
                <w:szCs w:val="20"/>
                <w:color w:val="auto"/>
              </w:rPr>
            </w:pPr>
            <w:r>
              <w:rPr>
                <w:rFonts w:ascii="Times New Roman" w:cs="Times New Roman" w:eastAsia="Times New Roman" w:hAnsi="Times New Roman"/>
                <w:sz w:val="20"/>
                <w:szCs w:val="20"/>
                <w:color w:val="auto"/>
                <w:w w:val="97"/>
              </w:rPr>
              <w:t>1,033</w:t>
            </w: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120,310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investment gain allocation variance between the PSP and ESOP is driven primarily by the investment mix within the respective plans. The ESOP requires holdings to be predominately invested in NVR, Inc. common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the PSP has no similar requirements and thus holdings within the PSP are diversified among multiple investments.</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Tax Status</w:t>
      </w:r>
    </w:p>
    <w:p>
      <w:pPr>
        <w:spacing w:after="0" w:line="1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The Plan received its latest determination letter dated September 7, 2017 which stated that the Plan is qualified under section 401(a) of the Internal Revenue Code (the “Code”) and its related Trust is exempt from tax under section 501(a) of the Code. The Plan has been amended since receiving the determination letter; however, in the opinion of the Plan Administrator, the Plan and its underlying trust have operated within the terms of the Plan and remain qualified under the applicable provisions of the Code.</w:t>
      </w:r>
    </w:p>
    <w:p>
      <w:pPr>
        <w:spacing w:after="0" w:line="6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GAAP requires plan management to evaluate tax positions taken by the Plan and recognize a tax liability (or asset) if the Plan has taken an uncertain position that more likely than not would not be sustained upon examination by the Internal Revenue Service. The Plan Administrator has analyzed the tax positions taken by the Plan, and has concluded that as of December 31, 2025 and 2024, there are no uncertain positions taken or expected to be taken. The Plan is subject to routine audits by taxing jurisdictions; however, there are currently no audits for any tax periods in progress.</w:t>
      </w:r>
    </w:p>
    <w:p>
      <w:pPr>
        <w:spacing w:after="0" w:line="1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Plan Termination</w:t>
      </w:r>
    </w:p>
    <w:p>
      <w:pPr>
        <w:spacing w:after="0" w:line="1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Although it has not expressed any intent to do so, the Plan Administrator has the right under the Plan to discontinue contributions at any time and terminate the Plan subject to the provisions of ERISA. In the event of a Plan termination, partial Plan termination or if the Sponsor suspends contributions indefinitely, affected participants will become fully vested in their accounts.</w:t>
      </w:r>
    </w:p>
    <w:p>
      <w:pPr>
        <w:spacing w:after="0" w:line="17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Related Parties and Parties-In-Interest</w:t>
      </w:r>
    </w:p>
    <w:p>
      <w:pPr>
        <w:spacing w:after="0" w:line="1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At December 31, 2025 and 2024, Plan investments of $799,261 and $655,195, respectively, are with parties-in-interest as they are investment funds managed by the trustee and recordkeeper, Fidelity Management Trust Company and Fidelity Investments Institutional Operations Company, Inc.</w:t>
      </w:r>
    </w:p>
    <w:p>
      <w:pPr>
        <w:spacing w:after="0" w:line="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At December 31, 2025 and 2024, investments held by the Plan included 30,144 and 30,391 shares of NVR, Inc. common stock, with a fair value of $219,834 and $252,978, respectively. Certain administrative expenses of the Plan are paid directly by the Sponsor and are considered party-in-interest transactions.</w:t>
      </w:r>
    </w:p>
    <w:p>
      <w:pPr>
        <w:spacing w:after="0" w:line="7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Plan also issues loans to participants, which are secured by the vested balances in the participants’ accounts. These transactions qualify as exempt party-in-interest transactions.</w:t>
      </w:r>
    </w:p>
    <w:p>
      <w:pPr>
        <w:spacing w:after="0" w:line="1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Risks and Uncertainties</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 of investment securities will occur in the near term and that such changes could materially affect participants’ account balances and the amounts reported in the Statements of Net Assets Available for Plan Benefits.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Reconciliation of Financial Statements to Form 5500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reconciliation from the financial statements to the Form 5500 of net assets available for plan benefits: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0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gridSpan w:val="4"/>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54"/>
        </w:trPr>
        <w:tc>
          <w:tcPr>
            <w:tcW w:w="70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7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assets available as reported in the financial statements</w:t>
            </w: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1,142,815</w:t>
            </w: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1,025,322</w:t>
            </w:r>
          </w:p>
        </w:tc>
      </w:tr>
      <w:tr>
        <w:trPr>
          <w:trHeight w:val="256"/>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Deemed distributions (1)</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75"/>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assets available as reported in the Form 5500</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1,142,780</w:t>
            </w:r>
          </w:p>
        </w:tc>
        <w:tc>
          <w:tcPr>
            <w:tcW w:w="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1,025,314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reconciliation from the financial statements to the Form 5500 of the increase in net assets available for plan benefits:</w:t>
      </w:r>
    </w:p>
    <w:p>
      <w:pPr>
        <w:spacing w:after="0" w:line="158" w:lineRule="exact"/>
        <w:rPr>
          <w:sz w:val="20"/>
          <w:szCs w:val="20"/>
          <w:color w:val="auto"/>
        </w:rPr>
      </w:pPr>
    </w:p>
    <w:tbl>
      <w:tblPr>
        <w:tblLayout w:type="fixed"/>
        <w:tblInd w:w="1340" w:type="dxa"/>
        <w:tblCellMar>
          <w:top w:w="0" w:type="dxa"/>
          <w:left w:w="0" w:type="dxa"/>
          <w:bottom w:w="0" w:type="dxa"/>
          <w:right w:w="0" w:type="dxa"/>
        </w:tblCellMar>
      </w:tblPr>
      <w:tr>
        <w:trPr>
          <w:trHeight w:val="257"/>
        </w:trPr>
        <w:tc>
          <w:tcPr>
            <w:tcW w:w="6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tcPr>
          <w:p>
            <w:pPr>
              <w:jc w:val="right"/>
              <w:ind w:right="383"/>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66"/>
        </w:trPr>
        <w:tc>
          <w:tcPr>
            <w:tcW w:w="66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r>
      <w:tr>
        <w:trPr>
          <w:trHeight w:val="254"/>
        </w:trPr>
        <w:tc>
          <w:tcPr>
            <w:tcW w:w="6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Increase in net assets as reported in the financial statements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117,493</w:t>
            </w:r>
          </w:p>
        </w:tc>
      </w:tr>
      <w:tr>
        <w:trPr>
          <w:trHeight w:val="256"/>
        </w:trPr>
        <w:tc>
          <w:tcPr>
            <w:tcW w:w="6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Deemed distributions reported in 2025 Form 5500 (1)</w:t>
            </w:r>
          </w:p>
        </w:tc>
        <w:tc>
          <w:tcPr>
            <w:tcW w:w="14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Deemed distributions reported in 2024 Form 5500 (1)</w:t>
            </w:r>
          </w:p>
        </w:tc>
        <w:tc>
          <w:tcPr>
            <w:tcW w:w="14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Increase in net assets as reported in the Form 5500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117,466</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660" w:right="440" w:hanging="4"/>
        <w:spacing w:after="0" w:line="288" w:lineRule="auto"/>
        <w:tabs>
          <w:tab w:leader="none" w:pos="1026"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rPr>
        <w:t>Deemed distributions represent defaulted loan balances for which there were no post-default payment activity. These distributions are not included in the loan balance, and in turn, are not included in the net assets available for plan benefits, for reporting purposes in the Form 5500 but are reflected in the total loan balance for financial statement reporting purposes.</w:t>
      </w:r>
    </w:p>
    <w:p>
      <w:pPr>
        <w:spacing w:after="0" w:line="140"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1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Plan Administrator has evaluated all subsequent events through June 26, 2026, the date the financial statements were issued, and made any necessary adjustments and disclosures, as applicable.</w:t>
      </w: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2" w:name="page13"/>
    <w:bookmarkEnd w:id="12"/>
    <w:p>
      <w:pPr>
        <w:ind w:left="3980"/>
        <w:spacing w:after="0"/>
        <w:rPr>
          <w:sz w:val="20"/>
          <w:szCs w:val="20"/>
          <w:color w:val="auto"/>
        </w:rPr>
      </w:pPr>
      <w:r>
        <w:rPr>
          <w:rFonts w:ascii="Times New Roman" w:cs="Times New Roman" w:eastAsia="Times New Roman" w:hAnsi="Times New Roman"/>
          <w:sz w:val="20"/>
          <w:szCs w:val="20"/>
          <w:b w:val="1"/>
          <w:bCs w:val="1"/>
          <w:color w:val="auto"/>
        </w:rPr>
        <w:t>NVR, INC. PROFIT SHARING PLAN</w:t>
      </w:r>
    </w:p>
    <w:p>
      <w:pPr>
        <w:spacing w:after="0" w:line="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EIN: 54-1394360</w:t>
      </w:r>
    </w:p>
    <w:p>
      <w:pPr>
        <w:spacing w:after="0" w:line="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Plan Number: 333</w:t>
      </w:r>
    </w:p>
    <w:p>
      <w:pPr>
        <w:spacing w:after="0" w:line="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Schedule H, Line 4(a) - Schedule of Delinquent Participant Contributions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For the year ended December 31, 2025</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0" w:type="dxa"/>
            <w:vAlign w:val="bottom"/>
            <w:tcBorders>
              <w:top w:val="single" w:sz="8" w:color="auto"/>
              <w:left w:val="single" w:sz="8" w:color="auto"/>
            </w:tcBorders>
          </w:tcPr>
          <w:p>
            <w:pPr>
              <w:spacing w:after="0"/>
              <w:rPr>
                <w:sz w:val="17"/>
                <w:szCs w:val="17"/>
                <w:color w:val="auto"/>
              </w:rPr>
            </w:pPr>
          </w:p>
        </w:tc>
        <w:tc>
          <w:tcPr>
            <w:tcW w:w="2100" w:type="dxa"/>
            <w:vAlign w:val="bottom"/>
            <w:tcBorders>
              <w:top w:val="single" w:sz="8" w:color="auto"/>
              <w:right w:val="single" w:sz="8" w:color="auto"/>
            </w:tcBorders>
          </w:tcPr>
          <w:p>
            <w:pPr>
              <w:jc w:val="center"/>
              <w:ind w:right="3"/>
              <w:spacing w:after="0" w:line="203" w:lineRule="exact"/>
              <w:rPr>
                <w:sz w:val="20"/>
                <w:szCs w:val="20"/>
                <w:color w:val="auto"/>
              </w:rPr>
            </w:pPr>
            <w:r>
              <w:rPr>
                <w:rFonts w:ascii="Times New Roman" w:cs="Times New Roman" w:eastAsia="Times New Roman" w:hAnsi="Times New Roman"/>
                <w:sz w:val="20"/>
                <w:szCs w:val="20"/>
                <w:color w:val="auto"/>
                <w:w w:val="99"/>
              </w:rPr>
              <w:t>Participant contributions</w:t>
            </w:r>
          </w:p>
        </w:tc>
        <w:tc>
          <w:tcPr>
            <w:tcW w:w="240" w:type="dxa"/>
            <w:vAlign w:val="bottom"/>
            <w:tcBorders>
              <w:top w:val="single" w:sz="8" w:color="auto"/>
            </w:tcBorders>
          </w:tcPr>
          <w:p>
            <w:pPr>
              <w:spacing w:after="0"/>
              <w:rPr>
                <w:sz w:val="17"/>
                <w:szCs w:val="17"/>
                <w:color w:val="auto"/>
              </w:rPr>
            </w:pPr>
          </w:p>
        </w:tc>
        <w:tc>
          <w:tcPr>
            <w:tcW w:w="6340" w:type="dxa"/>
            <w:vAlign w:val="bottom"/>
            <w:tcBorders>
              <w:top w:val="single" w:sz="8" w:color="auto"/>
              <w:right w:val="single" w:sz="8" w:color="auto"/>
            </w:tcBorders>
            <w:gridSpan w:val="5"/>
            <w:vMerge w:val="restart"/>
          </w:tcPr>
          <w:p>
            <w:pPr>
              <w:jc w:val="center"/>
              <w:ind w:right="164"/>
              <w:spacing w:after="0"/>
              <w:rPr>
                <w:sz w:val="20"/>
                <w:szCs w:val="20"/>
                <w:color w:val="auto"/>
              </w:rPr>
            </w:pPr>
            <w:r>
              <w:rPr>
                <w:rFonts w:ascii="Times New Roman" w:cs="Times New Roman" w:eastAsia="Times New Roman" w:hAnsi="Times New Roman"/>
                <w:sz w:val="20"/>
                <w:szCs w:val="20"/>
                <w:color w:val="auto"/>
                <w:w w:val="98"/>
              </w:rPr>
              <w:t>Total that constitutes nonexempt prohibited transactions</w:t>
            </w:r>
          </w:p>
        </w:tc>
        <w:tc>
          <w:tcPr>
            <w:tcW w:w="120" w:type="dxa"/>
            <w:vAlign w:val="bottom"/>
            <w:tcBorders>
              <w:top w:val="single" w:sz="8" w:color="auto"/>
            </w:tcBorders>
          </w:tcPr>
          <w:p>
            <w:pPr>
              <w:spacing w:after="0"/>
              <w:rPr>
                <w:sz w:val="17"/>
                <w:szCs w:val="17"/>
                <w:color w:val="auto"/>
              </w:rPr>
            </w:pPr>
          </w:p>
        </w:tc>
        <w:tc>
          <w:tcPr>
            <w:tcW w:w="2340" w:type="dxa"/>
            <w:vAlign w:val="bottom"/>
            <w:tcBorders>
              <w:top w:val="single" w:sz="8" w:color="auto"/>
              <w:right w:val="single" w:sz="8" w:color="auto"/>
            </w:tcBorders>
          </w:tcPr>
          <w:p>
            <w:pPr>
              <w:jc w:val="center"/>
              <w:ind w:right="44"/>
              <w:spacing w:after="0" w:line="203" w:lineRule="exact"/>
              <w:rPr>
                <w:sz w:val="20"/>
                <w:szCs w:val="20"/>
                <w:color w:val="auto"/>
              </w:rPr>
            </w:pPr>
            <w:r>
              <w:rPr>
                <w:rFonts w:ascii="Times New Roman" w:cs="Times New Roman" w:eastAsia="Times New Roman" w:hAnsi="Times New Roman"/>
                <w:sz w:val="20"/>
                <w:szCs w:val="20"/>
                <w:color w:val="auto"/>
                <w:w w:val="98"/>
              </w:rPr>
              <w:t>Total fully corrected under</w:t>
            </w:r>
          </w:p>
        </w:tc>
        <w:tc>
          <w:tcPr>
            <w:tcW w:w="0" w:type="dxa"/>
            <w:vAlign w:val="bottom"/>
          </w:tcPr>
          <w:p>
            <w:pPr>
              <w:spacing w:after="0"/>
              <w:rPr>
                <w:sz w:val="1"/>
                <w:szCs w:val="1"/>
                <w:color w:val="auto"/>
              </w:rPr>
            </w:pPr>
          </w:p>
        </w:tc>
      </w:tr>
      <w:tr>
        <w:trPr>
          <w:trHeight w:val="256"/>
        </w:trPr>
        <w:tc>
          <w:tcPr>
            <w:tcW w:w="120" w:type="dxa"/>
            <w:vAlign w:val="bottom"/>
            <w:tcBorders>
              <w:left w:val="single" w:sz="8" w:color="auto"/>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3"/>
              <w:spacing w:after="0"/>
              <w:rPr>
                <w:sz w:val="20"/>
                <w:szCs w:val="20"/>
                <w:color w:val="auto"/>
              </w:rPr>
            </w:pPr>
            <w:r>
              <w:rPr>
                <w:rFonts w:ascii="Times New Roman" w:cs="Times New Roman" w:eastAsia="Times New Roman" w:hAnsi="Times New Roman"/>
                <w:sz w:val="20"/>
                <w:szCs w:val="20"/>
                <w:color w:val="auto"/>
                <w:w w:val="99"/>
              </w:rPr>
              <w:t>transferred late to Plan</w:t>
            </w:r>
          </w:p>
        </w:tc>
        <w:tc>
          <w:tcPr>
            <w:tcW w:w="240" w:type="dxa"/>
            <w:vAlign w:val="bottom"/>
            <w:tcBorders>
              <w:bottom w:val="single" w:sz="8" w:color="auto"/>
            </w:tcBorders>
          </w:tcPr>
          <w:p>
            <w:pPr>
              <w:spacing w:after="0"/>
              <w:rPr>
                <w:sz w:val="22"/>
                <w:szCs w:val="22"/>
                <w:color w:val="auto"/>
              </w:rPr>
            </w:pPr>
          </w:p>
        </w:tc>
        <w:tc>
          <w:tcPr>
            <w:tcW w:w="6340" w:type="dxa"/>
            <w:vAlign w:val="bottom"/>
            <w:tcBorders>
              <w:bottom w:val="single" w:sz="8" w:color="auto"/>
              <w:right w:val="single" w:sz="8" w:color="auto"/>
            </w:tcBorders>
            <w:gridSpan w:val="5"/>
            <w:vMerge w:val="continue"/>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tcBorders>
              <w:right w:val="single" w:sz="8" w:color="auto"/>
            </w:tcBorders>
          </w:tcPr>
          <w:p>
            <w:pPr>
              <w:jc w:val="center"/>
              <w:ind w:right="64"/>
              <w:spacing w:after="0"/>
              <w:rPr>
                <w:sz w:val="20"/>
                <w:szCs w:val="20"/>
                <w:color w:val="auto"/>
              </w:rPr>
            </w:pPr>
            <w:r>
              <w:rPr>
                <w:rFonts w:ascii="Times New Roman" w:cs="Times New Roman" w:eastAsia="Times New Roman" w:hAnsi="Times New Roman"/>
                <w:sz w:val="20"/>
                <w:szCs w:val="20"/>
                <w:color w:val="auto"/>
                <w:w w:val="98"/>
              </w:rPr>
              <w:t>VFCP and PTE 2002-51</w:t>
            </w:r>
          </w:p>
        </w:tc>
        <w:tc>
          <w:tcPr>
            <w:tcW w:w="0" w:type="dxa"/>
            <w:vAlign w:val="bottom"/>
          </w:tcPr>
          <w:p>
            <w:pPr>
              <w:spacing w:after="0"/>
              <w:rPr>
                <w:sz w:val="1"/>
                <w:szCs w:val="1"/>
                <w:color w:val="auto"/>
              </w:rPr>
            </w:pPr>
          </w:p>
        </w:tc>
      </w:tr>
      <w:tr>
        <w:trPr>
          <w:trHeight w:val="183"/>
        </w:trPr>
        <w:tc>
          <w:tcPr>
            <w:tcW w:w="120" w:type="dxa"/>
            <w:vAlign w:val="bottom"/>
            <w:tcBorders>
              <w:left w:val="single" w:sz="8" w:color="auto"/>
            </w:tcBorders>
          </w:tcPr>
          <w:p>
            <w:pPr>
              <w:spacing w:after="0"/>
              <w:rPr>
                <w:sz w:val="15"/>
                <w:szCs w:val="15"/>
                <w:color w:val="auto"/>
              </w:rPr>
            </w:pPr>
          </w:p>
        </w:tc>
        <w:tc>
          <w:tcPr>
            <w:tcW w:w="2100" w:type="dxa"/>
            <w:vAlign w:val="bottom"/>
            <w:tcBorders>
              <w:right w:val="single" w:sz="8" w:color="auto"/>
            </w:tcBorders>
          </w:tcPr>
          <w:p>
            <w:pPr>
              <w:jc w:val="center"/>
              <w:ind w:right="23"/>
              <w:spacing w:after="0" w:line="183" w:lineRule="exact"/>
              <w:rPr>
                <w:sz w:val="20"/>
                <w:szCs w:val="20"/>
                <w:color w:val="auto"/>
              </w:rPr>
            </w:pPr>
            <w:r>
              <w:rPr>
                <w:rFonts w:ascii="Times New Roman" w:cs="Times New Roman" w:eastAsia="Times New Roman" w:hAnsi="Times New Roman"/>
                <w:sz w:val="20"/>
                <w:szCs w:val="20"/>
                <w:color w:val="auto"/>
                <w:w w:val="98"/>
              </w:rPr>
              <w:t>Check here if Late</w:t>
            </w:r>
          </w:p>
        </w:tc>
        <w:tc>
          <w:tcPr>
            <w:tcW w:w="240" w:type="dxa"/>
            <w:vAlign w:val="bottom"/>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0" w:type="dxa"/>
            <w:vAlign w:val="bottom"/>
            <w:tcBorders>
              <w:left w:val="single" w:sz="8" w:color="auto"/>
            </w:tcBorders>
          </w:tcPr>
          <w:p>
            <w:pPr>
              <w:spacing w:after="0"/>
              <w:rPr>
                <w:sz w:val="16"/>
                <w:szCs w:val="16"/>
                <w:color w:val="auto"/>
              </w:rPr>
            </w:pPr>
          </w:p>
        </w:tc>
        <w:tc>
          <w:tcPr>
            <w:tcW w:w="2100" w:type="dxa"/>
            <w:vAlign w:val="bottom"/>
            <w:tcBorders>
              <w:right w:val="single" w:sz="8" w:color="auto"/>
            </w:tcBorders>
          </w:tcPr>
          <w:p>
            <w:pPr>
              <w:jc w:val="center"/>
              <w:ind w:right="3"/>
              <w:spacing w:after="0" w:line="193" w:lineRule="exact"/>
              <w:rPr>
                <w:sz w:val="20"/>
                <w:szCs w:val="20"/>
                <w:color w:val="auto"/>
              </w:rPr>
            </w:pPr>
            <w:r>
              <w:rPr>
                <w:rFonts w:ascii="Times New Roman" w:cs="Times New Roman" w:eastAsia="Times New Roman" w:hAnsi="Times New Roman"/>
                <w:sz w:val="20"/>
                <w:szCs w:val="20"/>
                <w:color w:val="auto"/>
                <w:w w:val="99"/>
              </w:rPr>
              <w:t>Participant Loan</w:t>
            </w:r>
          </w:p>
        </w:tc>
        <w:tc>
          <w:tcPr>
            <w:tcW w:w="240" w:type="dxa"/>
            <w:vAlign w:val="bottom"/>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20" w:type="dxa"/>
            <w:vAlign w:val="bottom"/>
            <w:tcBorders>
              <w:left w:val="single" w:sz="8" w:color="auto"/>
              <w:right w:val="single" w:sz="8" w:color="auto"/>
            </w:tcBorders>
            <w:gridSpan w:val="2"/>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Repayments are included:</w:t>
            </w:r>
          </w:p>
        </w:tc>
        <w:tc>
          <w:tcPr>
            <w:tcW w:w="240" w:type="dxa"/>
            <w:vAlign w:val="bottom"/>
          </w:tcPr>
          <w:p>
            <w:pPr>
              <w:spacing w:after="0"/>
              <w:rPr>
                <w:sz w:val="18"/>
                <w:szCs w:val="18"/>
                <w:color w:val="auto"/>
              </w:rPr>
            </w:pPr>
          </w:p>
        </w:tc>
        <w:tc>
          <w:tcPr>
            <w:tcW w:w="1920" w:type="dxa"/>
            <w:vAlign w:val="bottom"/>
            <w:tcBorders>
              <w:right w:val="single" w:sz="8" w:color="auto"/>
            </w:tcBorders>
          </w:tcPr>
          <w:p>
            <w:pPr>
              <w:jc w:val="center"/>
              <w:ind w:right="163"/>
              <w:spacing w:after="0" w:line="212" w:lineRule="exact"/>
              <w:rPr>
                <w:sz w:val="20"/>
                <w:szCs w:val="20"/>
                <w:color w:val="auto"/>
              </w:rPr>
            </w:pPr>
            <w:r>
              <w:rPr>
                <w:rFonts w:ascii="Times New Roman" w:cs="Times New Roman" w:eastAsia="Times New Roman" w:hAnsi="Times New Roman"/>
                <w:sz w:val="20"/>
                <w:szCs w:val="20"/>
                <w:color w:val="auto"/>
                <w:w w:val="98"/>
              </w:rPr>
              <w:t>Contributions not</w:t>
            </w:r>
          </w:p>
        </w:tc>
        <w:tc>
          <w:tcPr>
            <w:tcW w:w="140" w:type="dxa"/>
            <w:vAlign w:val="bottom"/>
          </w:tcPr>
          <w:p>
            <w:pPr>
              <w:spacing w:after="0"/>
              <w:rPr>
                <w:sz w:val="18"/>
                <w:szCs w:val="18"/>
                <w:color w:val="auto"/>
              </w:rPr>
            </w:pPr>
          </w:p>
        </w:tc>
        <w:tc>
          <w:tcPr>
            <w:tcW w:w="2140" w:type="dxa"/>
            <w:vAlign w:val="bottom"/>
            <w:tcBorders>
              <w:right w:val="single" w:sz="8" w:color="auto"/>
            </w:tcBorders>
          </w:tcPr>
          <w:p>
            <w:pPr>
              <w:jc w:val="center"/>
              <w:ind w:right="84"/>
              <w:spacing w:after="0" w:line="212" w:lineRule="exact"/>
              <w:rPr>
                <w:sz w:val="20"/>
                <w:szCs w:val="20"/>
                <w:color w:val="auto"/>
              </w:rPr>
            </w:pPr>
            <w:r>
              <w:rPr>
                <w:rFonts w:ascii="Times New Roman" w:cs="Times New Roman" w:eastAsia="Times New Roman" w:hAnsi="Times New Roman"/>
                <w:sz w:val="20"/>
                <w:szCs w:val="20"/>
                <w:color w:val="auto"/>
                <w:w w:val="99"/>
              </w:rPr>
              <w:t>Contributions corrected</w:t>
            </w:r>
          </w:p>
        </w:tc>
        <w:tc>
          <w:tcPr>
            <w:tcW w:w="120" w:type="dxa"/>
            <w:vAlign w:val="bottom"/>
          </w:tcPr>
          <w:p>
            <w:pPr>
              <w:spacing w:after="0"/>
              <w:rPr>
                <w:sz w:val="18"/>
                <w:szCs w:val="18"/>
                <w:color w:val="auto"/>
              </w:rPr>
            </w:pPr>
          </w:p>
        </w:tc>
        <w:tc>
          <w:tcPr>
            <w:tcW w:w="2020" w:type="dxa"/>
            <w:vAlign w:val="bottom"/>
            <w:tcBorders>
              <w:right w:val="single" w:sz="8" w:color="auto"/>
            </w:tcBorders>
          </w:tcPr>
          <w:p>
            <w:pPr>
              <w:jc w:val="center"/>
              <w:ind w:right="64"/>
              <w:spacing w:after="0" w:line="212" w:lineRule="exact"/>
              <w:rPr>
                <w:sz w:val="20"/>
                <w:szCs w:val="20"/>
                <w:color w:val="auto"/>
              </w:rPr>
            </w:pPr>
            <w:r>
              <w:rPr>
                <w:rFonts w:ascii="Times New Roman" w:cs="Times New Roman" w:eastAsia="Times New Roman" w:hAnsi="Times New Roman"/>
                <w:sz w:val="20"/>
                <w:szCs w:val="20"/>
                <w:color w:val="auto"/>
                <w:w w:val="99"/>
              </w:rPr>
              <w:t>Contributions pending</w:t>
            </w:r>
          </w:p>
        </w:tc>
        <w:tc>
          <w:tcPr>
            <w:tcW w:w="120" w:type="dxa"/>
            <w:vAlign w:val="bottom"/>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Borders>
              <w:left w:val="single" w:sz="8" w:color="auto"/>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23"/>
              <w:spacing w:after="0"/>
              <w:rPr>
                <w:sz w:val="20"/>
                <w:szCs w:val="20"/>
                <w:color w:val="auto"/>
              </w:rPr>
            </w:pPr>
            <w:r>
              <w:rPr>
                <w:rFonts w:ascii="Times New Roman" w:cs="Times New Roman" w:eastAsia="Times New Roman" w:hAnsi="Times New Roman"/>
                <w:sz w:val="20"/>
                <w:szCs w:val="20"/>
                <w:color w:val="auto"/>
                <w:w w:val="96"/>
              </w:rPr>
              <w:t>X</w:t>
            </w: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ind w:right="163"/>
              <w:spacing w:after="0"/>
              <w:rPr>
                <w:sz w:val="20"/>
                <w:szCs w:val="20"/>
                <w:color w:val="auto"/>
              </w:rPr>
            </w:pPr>
            <w:r>
              <w:rPr>
                <w:rFonts w:ascii="Times New Roman" w:cs="Times New Roman" w:eastAsia="Times New Roman" w:hAnsi="Times New Roman"/>
                <w:sz w:val="20"/>
                <w:szCs w:val="20"/>
                <w:color w:val="auto"/>
                <w:w w:val="99"/>
              </w:rPr>
              <w:t>corrected</w:t>
            </w: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ind w:right="84"/>
              <w:spacing w:after="0" w:line="257" w:lineRule="exact"/>
              <w:rPr>
                <w:sz w:val="20"/>
                <w:szCs w:val="20"/>
                <w:color w:val="auto"/>
              </w:rPr>
            </w:pPr>
            <w:r>
              <w:rPr>
                <w:rFonts w:ascii="Times New Roman" w:cs="Times New Roman" w:eastAsia="Times New Roman" w:hAnsi="Times New Roman"/>
                <w:sz w:val="20"/>
                <w:szCs w:val="20"/>
                <w:color w:val="auto"/>
                <w:w w:val="95"/>
              </w:rPr>
              <w:t xml:space="preserve">outside of VFCP </w:t>
            </w:r>
            <w:r>
              <w:rPr>
                <w:rFonts w:ascii="Times New Roman" w:cs="Times New Roman" w:eastAsia="Times New Roman" w:hAnsi="Times New Roman"/>
                <w:sz w:val="25"/>
                <w:szCs w:val="25"/>
                <w:color w:val="auto"/>
                <w:w w:val="95"/>
                <w:vertAlign w:val="superscript"/>
              </w:rPr>
              <w:t>(1)</w:t>
            </w:r>
          </w:p>
        </w:tc>
        <w:tc>
          <w:tcPr>
            <w:tcW w:w="120" w:type="dxa"/>
            <w:vAlign w:val="bottom"/>
            <w:tcBorders>
              <w:bottom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jc w:val="center"/>
              <w:ind w:right="44"/>
              <w:spacing w:after="0"/>
              <w:rPr>
                <w:sz w:val="20"/>
                <w:szCs w:val="20"/>
                <w:color w:val="auto"/>
              </w:rPr>
            </w:pPr>
            <w:r>
              <w:rPr>
                <w:rFonts w:ascii="Times New Roman" w:cs="Times New Roman" w:eastAsia="Times New Roman" w:hAnsi="Times New Roman"/>
                <w:sz w:val="20"/>
                <w:szCs w:val="20"/>
                <w:color w:val="auto"/>
                <w:w w:val="99"/>
              </w:rPr>
              <w:t>correction in VFCP</w:t>
            </w:r>
          </w:p>
        </w:tc>
        <w:tc>
          <w:tcPr>
            <w:tcW w:w="120" w:type="dxa"/>
            <w:vAlign w:val="bottom"/>
            <w:tcBorders>
              <w:bottom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20" w:hanging="194"/>
        <w:spacing w:after="0" w:line="222" w:lineRule="auto"/>
        <w:tabs>
          <w:tab w:leader="none" w:pos="2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Lost earnings attributable to the 2024 late remittance were contributed to participants' accounts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9"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120" w:type="dxa"/>
            <w:vAlign w:val="bottom"/>
          </w:tcPr>
          <w:p>
            <w:pPr>
              <w:spacing w:after="0"/>
              <w:rPr>
                <w:sz w:val="24"/>
                <w:szCs w:val="24"/>
                <w:color w:val="auto"/>
              </w:rPr>
            </w:pPr>
          </w:p>
        </w:tc>
        <w:tc>
          <w:tcPr>
            <w:tcW w:w="4160" w:type="dxa"/>
            <w:vAlign w:val="bottom"/>
          </w:tcPr>
          <w:p>
            <w:pPr>
              <w:jc w:val="center"/>
              <w:ind w:left="201"/>
              <w:spacing w:after="0"/>
              <w:rPr>
                <w:sz w:val="20"/>
                <w:szCs w:val="20"/>
                <w:color w:val="auto"/>
              </w:rPr>
            </w:pPr>
            <w:r>
              <w:rPr>
                <w:rFonts w:ascii="Times New Roman" w:cs="Times New Roman" w:eastAsia="Times New Roman" w:hAnsi="Times New Roman"/>
                <w:sz w:val="20"/>
                <w:szCs w:val="20"/>
                <w:b w:val="1"/>
                <w:bCs w:val="1"/>
                <w:color w:val="auto"/>
                <w:w w:val="98"/>
              </w:rPr>
              <w:t>NVR, INC. PROFIT SHARING PLAN</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160" w:type="dxa"/>
            <w:vAlign w:val="bottom"/>
          </w:tcPr>
          <w:p>
            <w:pPr>
              <w:jc w:val="center"/>
              <w:ind w:left="201"/>
              <w:spacing w:after="0"/>
              <w:rPr>
                <w:sz w:val="20"/>
                <w:szCs w:val="20"/>
                <w:color w:val="auto"/>
              </w:rPr>
            </w:pPr>
            <w:r>
              <w:rPr>
                <w:rFonts w:ascii="Times New Roman" w:cs="Times New Roman" w:eastAsia="Times New Roman" w:hAnsi="Times New Roman"/>
                <w:sz w:val="20"/>
                <w:szCs w:val="20"/>
                <w:b w:val="1"/>
                <w:bCs w:val="1"/>
                <w:color w:val="auto"/>
                <w:w w:val="98"/>
              </w:rPr>
              <w:t>EIN: 54-1394360</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160" w:type="dxa"/>
            <w:vAlign w:val="bottom"/>
          </w:tcPr>
          <w:p>
            <w:pPr>
              <w:jc w:val="center"/>
              <w:ind w:left="181"/>
              <w:spacing w:after="0"/>
              <w:rPr>
                <w:sz w:val="20"/>
                <w:szCs w:val="20"/>
                <w:color w:val="auto"/>
              </w:rPr>
            </w:pPr>
            <w:r>
              <w:rPr>
                <w:rFonts w:ascii="Times New Roman" w:cs="Times New Roman" w:eastAsia="Times New Roman" w:hAnsi="Times New Roman"/>
                <w:sz w:val="20"/>
                <w:szCs w:val="20"/>
                <w:b w:val="1"/>
                <w:bCs w:val="1"/>
                <w:color w:val="auto"/>
                <w:w w:val="99"/>
              </w:rPr>
              <w:t>Plan Number: 333</w:t>
            </w:r>
          </w:p>
        </w:tc>
        <w:tc>
          <w:tcPr>
            <w:tcW w:w="1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520" w:type="dxa"/>
            <w:vAlign w:val="bottom"/>
            <w:gridSpan w:val="3"/>
          </w:tcPr>
          <w:p>
            <w:pPr>
              <w:jc w:val="center"/>
              <w:ind w:left="1081"/>
              <w:spacing w:after="0"/>
              <w:rPr>
                <w:sz w:val="20"/>
                <w:szCs w:val="20"/>
                <w:color w:val="auto"/>
              </w:rPr>
            </w:pPr>
            <w:r>
              <w:rPr>
                <w:rFonts w:ascii="Times New Roman" w:cs="Times New Roman" w:eastAsia="Times New Roman" w:hAnsi="Times New Roman"/>
                <w:sz w:val="20"/>
                <w:szCs w:val="20"/>
                <w:color w:val="auto"/>
                <w:w w:val="98"/>
              </w:rPr>
              <w:t>Schedule H, Line 4(i) - Schedule of Assets (Held at End of Year)</w:t>
            </w:r>
          </w:p>
        </w:tc>
        <w:tc>
          <w:tcPr>
            <w:tcW w:w="8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16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December 31, 2025</w:t>
            </w:r>
          </w:p>
        </w:tc>
        <w:tc>
          <w:tcPr>
            <w:tcW w:w="1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16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(dollars in thousands)</w:t>
            </w:r>
          </w:p>
        </w:tc>
        <w:tc>
          <w:tcPr>
            <w:tcW w:w="1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jc w:val="center"/>
              <w:ind w:right="221"/>
              <w:spacing w:after="0"/>
              <w:rPr>
                <w:sz w:val="20"/>
                <w:szCs w:val="20"/>
                <w:color w:val="auto"/>
              </w:rPr>
            </w:pPr>
            <w:r>
              <w:rPr>
                <w:rFonts w:ascii="Times New Roman" w:cs="Times New Roman" w:eastAsia="Times New Roman" w:hAnsi="Times New Roman"/>
                <w:sz w:val="20"/>
                <w:szCs w:val="20"/>
                <w:color w:val="auto"/>
              </w:rPr>
              <w:t>(b)</w:t>
            </w:r>
          </w:p>
        </w:tc>
        <w:tc>
          <w:tcPr>
            <w:tcW w:w="41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8"/>
              </w:rPr>
              <w:t>(c)</w:t>
            </w:r>
          </w:p>
        </w:tc>
        <w:tc>
          <w:tcPr>
            <w:tcW w:w="1240" w:type="dxa"/>
            <w:vAlign w:val="bottom"/>
          </w:tcPr>
          <w:p>
            <w:pPr>
              <w:jc w:val="center"/>
              <w:ind w:left="441"/>
              <w:spacing w:after="0"/>
              <w:rPr>
                <w:sz w:val="20"/>
                <w:szCs w:val="20"/>
                <w:color w:val="auto"/>
              </w:rPr>
            </w:pPr>
            <w:r>
              <w:rPr>
                <w:rFonts w:ascii="Times New Roman" w:cs="Times New Roman" w:eastAsia="Times New Roman" w:hAnsi="Times New Roman"/>
                <w:sz w:val="20"/>
                <w:szCs w:val="20"/>
                <w:color w:val="auto"/>
                <w:w w:val="94"/>
              </w:rPr>
              <w:t>(d)</w:t>
            </w:r>
          </w:p>
        </w:tc>
        <w:tc>
          <w:tcPr>
            <w:tcW w:w="800" w:type="dxa"/>
            <w:vAlign w:val="bottom"/>
          </w:tcPr>
          <w:p>
            <w:pPr>
              <w:spacing w:after="0"/>
              <w:rPr>
                <w:sz w:val="24"/>
                <w:szCs w:val="24"/>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color w:val="auto"/>
                <w:w w:val="98"/>
              </w:rPr>
              <w:t>(e)</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Identity of issue, borrower,</w:t>
            </w:r>
          </w:p>
        </w:tc>
        <w:tc>
          <w:tcPr>
            <w:tcW w:w="4160" w:type="dxa"/>
            <w:vAlign w:val="bottom"/>
          </w:tcPr>
          <w:p>
            <w:pPr>
              <w:jc w:val="center"/>
              <w:ind w:left="1"/>
              <w:spacing w:after="0" w:line="198" w:lineRule="exact"/>
              <w:rPr>
                <w:sz w:val="20"/>
                <w:szCs w:val="20"/>
                <w:color w:val="auto"/>
              </w:rPr>
            </w:pPr>
            <w:r>
              <w:rPr>
                <w:rFonts w:ascii="Times New Roman" w:cs="Times New Roman" w:eastAsia="Times New Roman" w:hAnsi="Times New Roman"/>
                <w:sz w:val="20"/>
                <w:szCs w:val="20"/>
                <w:color w:val="auto"/>
                <w:w w:val="98"/>
              </w:rPr>
              <w:t>Description of investment, including maturity</w:t>
            </w: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(a)</w:t>
            </w:r>
          </w:p>
        </w:tc>
        <w:tc>
          <w:tcPr>
            <w:tcW w:w="2500" w:type="dxa"/>
            <w:vAlign w:val="bottom"/>
            <w:gridSpan w:val="2"/>
            <w:vMerge w:val="continue"/>
          </w:tcPr>
          <w:p>
            <w:pPr>
              <w:spacing w:after="0"/>
              <w:rPr>
                <w:sz w:val="17"/>
                <w:szCs w:val="17"/>
                <w:color w:val="auto"/>
              </w:rPr>
            </w:pPr>
          </w:p>
        </w:tc>
        <w:tc>
          <w:tcPr>
            <w:tcW w:w="4160" w:type="dxa"/>
            <w:vAlign w:val="bottom"/>
          </w:tcPr>
          <w:p>
            <w:pPr>
              <w:jc w:val="center"/>
              <w:ind w:left="21"/>
              <w:spacing w:after="0" w:line="203" w:lineRule="exact"/>
              <w:rPr>
                <w:sz w:val="20"/>
                <w:szCs w:val="20"/>
                <w:color w:val="auto"/>
              </w:rPr>
            </w:pPr>
            <w:r>
              <w:rPr>
                <w:rFonts w:ascii="Times New Roman" w:cs="Times New Roman" w:eastAsia="Times New Roman" w:hAnsi="Times New Roman"/>
                <w:sz w:val="20"/>
                <w:szCs w:val="20"/>
                <w:color w:val="auto"/>
                <w:w w:val="98"/>
              </w:rPr>
              <w:t>date, rate of interest, collateral, par or maturity</w:t>
            </w:r>
          </w:p>
        </w:tc>
        <w:tc>
          <w:tcPr>
            <w:tcW w:w="1240" w:type="dxa"/>
            <w:vAlign w:val="bottom"/>
            <w:vMerge w:val="restart"/>
          </w:tcPr>
          <w:p>
            <w:pPr>
              <w:jc w:val="center"/>
              <w:ind w:left="461"/>
              <w:spacing w:after="0"/>
              <w:rPr>
                <w:sz w:val="20"/>
                <w:szCs w:val="20"/>
                <w:color w:val="auto"/>
              </w:rPr>
            </w:pPr>
            <w:r>
              <w:rPr>
                <w:rFonts w:ascii="Times New Roman" w:cs="Times New Roman" w:eastAsia="Times New Roman" w:hAnsi="Times New Roman"/>
                <w:sz w:val="20"/>
                <w:szCs w:val="20"/>
                <w:color w:val="auto"/>
                <w:w w:val="98"/>
              </w:rPr>
              <w:t>Cost</w:t>
            </w:r>
          </w:p>
        </w:tc>
        <w:tc>
          <w:tcPr>
            <w:tcW w:w="800" w:type="dxa"/>
            <w:vAlign w:val="bottom"/>
          </w:tcPr>
          <w:p>
            <w:pPr>
              <w:spacing w:after="0"/>
              <w:rPr>
                <w:sz w:val="17"/>
                <w:szCs w:val="17"/>
                <w:color w:val="auto"/>
              </w:rPr>
            </w:pPr>
          </w:p>
        </w:tc>
        <w:tc>
          <w:tcPr>
            <w:tcW w:w="16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20"/>
                <w:szCs w:val="20"/>
                <w:color w:val="auto"/>
                <w:w w:val="96"/>
              </w:rPr>
              <w:t>Current Value</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tcPr>
          <w:p>
            <w:pPr>
              <w:jc w:val="center"/>
              <w:ind w:right="221"/>
              <w:spacing w:after="0"/>
              <w:rPr>
                <w:sz w:val="20"/>
                <w:szCs w:val="20"/>
                <w:color w:val="auto"/>
              </w:rPr>
            </w:pPr>
            <w:r>
              <w:rPr>
                <w:rFonts w:ascii="Times New Roman" w:cs="Times New Roman" w:eastAsia="Times New Roman" w:hAnsi="Times New Roman"/>
                <w:sz w:val="20"/>
                <w:szCs w:val="20"/>
                <w:color w:val="auto"/>
                <w:w w:val="97"/>
              </w:rPr>
              <w:t>lessor, or similar party</w:t>
            </w:r>
          </w:p>
        </w:tc>
        <w:tc>
          <w:tcPr>
            <w:tcW w:w="416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rPr>
              <w:t>value</w:t>
            </w:r>
          </w:p>
        </w:tc>
        <w:tc>
          <w:tcPr>
            <w:tcW w:w="124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80" w:type="dxa"/>
            <w:vAlign w:val="bottom"/>
            <w:shd w:val="clear" w:color="auto" w:fill="CCEEFF"/>
          </w:tcPr>
          <w:p>
            <w:pPr>
              <w:jc w:val="right"/>
              <w:ind w:right="281"/>
              <w:spacing w:after="0" w:line="189" w:lineRule="exact"/>
              <w:rPr>
                <w:sz w:val="20"/>
                <w:szCs w:val="20"/>
                <w:color w:val="auto"/>
              </w:rPr>
            </w:pPr>
            <w:r>
              <w:rPr>
                <w:rFonts w:ascii="Times New Roman" w:cs="Times New Roman" w:eastAsia="Times New Roman" w:hAnsi="Times New Roman"/>
                <w:sz w:val="20"/>
                <w:szCs w:val="20"/>
                <w:color w:val="auto"/>
              </w:rPr>
              <w:t>*</w:t>
            </w:r>
          </w:p>
        </w:tc>
        <w:tc>
          <w:tcPr>
            <w:tcW w:w="250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20"/>
                <w:szCs w:val="20"/>
                <w:color w:val="auto"/>
              </w:rPr>
              <w:t>Participant loans</w:t>
            </w:r>
          </w:p>
        </w:tc>
        <w:tc>
          <w:tcPr>
            <w:tcW w:w="41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20"/>
                <w:szCs w:val="20"/>
                <w:color w:val="auto"/>
              </w:rPr>
              <w:t>Participants loans with various rates of interest</w:t>
            </w:r>
          </w:p>
        </w:tc>
        <w:tc>
          <w:tcPr>
            <w:tcW w:w="1240" w:type="dxa"/>
            <w:vAlign w:val="bottom"/>
            <w:shd w:val="clear" w:color="auto" w:fill="CCEEFF"/>
          </w:tcPr>
          <w:p>
            <w:pPr>
              <w:jc w:val="right"/>
              <w:ind w:right="901"/>
              <w:spacing w:after="0" w:line="189"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20"/>
                <w:szCs w:val="20"/>
                <w:color w:val="auto"/>
              </w:rPr>
              <w:t>—   $</w:t>
            </w:r>
          </w:p>
        </w:tc>
        <w:tc>
          <w:tcPr>
            <w:tcW w:w="1540" w:type="dxa"/>
            <w:vAlign w:val="bottom"/>
            <w:shd w:val="clear" w:color="auto" w:fill="CCEEFF"/>
          </w:tcPr>
          <w:p>
            <w:pPr>
              <w:jc w:val="right"/>
              <w:ind w:right="1"/>
              <w:spacing w:after="0" w:line="189" w:lineRule="exact"/>
              <w:rPr>
                <w:sz w:val="20"/>
                <w:szCs w:val="20"/>
                <w:color w:val="auto"/>
              </w:rPr>
            </w:pPr>
            <w:r>
              <w:rPr>
                <w:rFonts w:ascii="Times New Roman" w:cs="Times New Roman" w:eastAsia="Times New Roman" w:hAnsi="Times New Roman"/>
                <w:sz w:val="20"/>
                <w:szCs w:val="20"/>
                <w:color w:val="auto"/>
              </w:rPr>
              <w:t>13,255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4160" w:type="dxa"/>
            <w:vAlign w:val="bottom"/>
            <w:shd w:val="clear" w:color="auto" w:fill="CCEEFF"/>
          </w:tcPr>
          <w:p>
            <w:pPr>
              <w:ind w:left="140"/>
              <w:spacing w:after="0" w:line="193" w:lineRule="exact"/>
              <w:rPr>
                <w:sz w:val="20"/>
                <w:szCs w:val="20"/>
                <w:color w:val="auto"/>
              </w:rPr>
            </w:pPr>
            <w:r>
              <w:rPr>
                <w:rFonts w:ascii="Times New Roman" w:cs="Times New Roman" w:eastAsia="Times New Roman" w:hAnsi="Times New Roman"/>
                <w:sz w:val="20"/>
                <w:szCs w:val="20"/>
                <w:color w:val="auto"/>
              </w:rPr>
              <w:t>from 4.25% to 9.50% and maturity dates through</w:t>
            </w:r>
          </w:p>
        </w:tc>
        <w:tc>
          <w:tcPr>
            <w:tcW w:w="1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20" w:type="dxa"/>
            <w:vAlign w:val="bottom"/>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December 2040</w:t>
            </w:r>
          </w:p>
        </w:tc>
        <w:tc>
          <w:tcPr>
            <w:tcW w:w="1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8"/>
        </w:trPr>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Parties-in-interest</w:t>
            </w:r>
          </w:p>
        </w:tc>
        <w:tc>
          <w:tcPr>
            <w:tcW w:w="4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6"/>
        </w:trPr>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16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12</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20" w:type="dxa"/>
        <w:tblCellMar>
          <w:top w:w="0" w:type="dxa"/>
          <w:left w:w="0" w:type="dxa"/>
          <w:bottom w:w="0" w:type="dxa"/>
          <w:right w:w="0" w:type="dxa"/>
        </w:tblCellMar>
      </w:tblPr>
      <w:tr>
        <w:trPr>
          <w:trHeight w:val="262"/>
        </w:trPr>
        <w:tc>
          <w:tcPr>
            <w:tcW w:w="1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380" w:type="dxa"/>
            <w:vAlign w:val="bottom"/>
            <w:gridSpan w:val="2"/>
          </w:tcPr>
          <w:p>
            <w:pPr>
              <w:ind w:left="240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517"/>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Description</w:t>
            </w:r>
          </w:p>
        </w:tc>
      </w:tr>
      <w:tr>
        <w:trPr>
          <w:trHeight w:val="443"/>
        </w:trPr>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23</w:t>
            </w:r>
          </w:p>
        </w:tc>
        <w:tc>
          <w:tcPr>
            <w:tcW w:w="380" w:type="dxa"/>
            <w:vAlign w:val="bottom"/>
          </w:tcPr>
          <w:p>
            <w:pPr>
              <w:spacing w:after="0"/>
              <w:rPr>
                <w:sz w:val="24"/>
                <w:szCs w:val="24"/>
                <w:color w:val="auto"/>
              </w:rPr>
            </w:pPr>
          </w:p>
        </w:tc>
        <w:tc>
          <w:tcPr>
            <w:tcW w:w="4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8"/>
              </w:rPr>
              <w:t>Consent of Independent Registered Public Accounting Firm</w:t>
            </w:r>
          </w:p>
        </w:tc>
        <w:tc>
          <w:tcPr>
            <w:tcW w:w="362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and Exchange Act of 1934, the Plan Administrator has duly caused this annual report to be signed on behalf of the Plan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287" w:lineRule="exact"/>
        <w:rPr>
          <w:sz w:val="20"/>
          <w:szCs w:val="20"/>
          <w:color w:val="auto"/>
        </w:rPr>
      </w:pPr>
    </w:p>
    <w:p>
      <w:pPr>
        <w:ind w:left="200"/>
        <w:spacing w:after="0"/>
        <w:tabs>
          <w:tab w:leader="none" w:pos="5940" w:val="left"/>
        </w:tabs>
        <w:rPr>
          <w:sz w:val="20"/>
          <w:szCs w:val="20"/>
          <w:color w:val="auto"/>
        </w:rPr>
      </w:pPr>
      <w:r>
        <w:rPr>
          <w:rFonts w:ascii="Times New Roman" w:cs="Times New Roman" w:eastAsia="Times New Roman" w:hAnsi="Times New Roman"/>
          <w:sz w:val="20"/>
          <w:szCs w:val="20"/>
          <w:color w:val="auto"/>
        </w:rPr>
        <w:t>Date: June 26, 2026</w:t>
      </w:r>
      <w:r>
        <w:rPr>
          <w:sz w:val="20"/>
          <w:szCs w:val="20"/>
          <w:color w:val="auto"/>
        </w:rPr>
        <w:tab/>
      </w:r>
      <w:r>
        <w:rPr>
          <w:rFonts w:ascii="Times New Roman" w:cs="Times New Roman" w:eastAsia="Times New Roman" w:hAnsi="Times New Roman"/>
          <w:sz w:val="19"/>
          <w:szCs w:val="19"/>
          <w:color w:val="auto"/>
        </w:rPr>
        <w:t>By: /s/ Kevin N. Reichard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22860</wp:posOffset>
            </wp:positionV>
            <wp:extent cx="30518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Kevin N. Reichard</w:t>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i w:val="1"/>
          <w:iCs w:val="1"/>
          <w:color w:val="auto"/>
        </w:rPr>
        <w:t>Profit Sharing Committee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840"/>
          </w:cols>
          <w:pgMar w:left="320" w:top="121" w:right="7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20"/>
          <w:szCs w:val="20"/>
          <w:color w:val="auto"/>
        </w:rPr>
        <w:t>We have issued our report dated June 26, 2026, with respect to the financial statements and supplemental information included in the Annual Report of NVR, Inc. Profit Sharing Plan on Form 11-K for the year ended December 31, 2025. We consent to the incorporation by reference of said report in the Registration Statements of NVR, Inc. on Form S-8 (File No. 333- 29241 and File No. 333- 82756).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2026</w:t>
      </w:r>
    </w:p>
    <w:sectPr>
      <w:pgSz w:w="11900" w:h="16838" w:orient="portrait"/>
      <w:cols w:equalWidth="0" w:num="1">
        <w:col w:w="11240"/>
      </w:cols>
      <w:pgMar w:left="32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decimal"/>
      <w:start w:val="1"/>
    </w:lvl>
    <w:lvl w:ilvl="1">
      <w:lvlJc w:val="left"/>
      <w:lvlText w:val="(%2)"/>
      <w:numFmt w:val="decimal"/>
      <w:start w:val="1"/>
    </w:lvl>
  </w:abstractNum>
  <w:abstractNum w:abstractNumId="9">
    <w:nsid w:val="216231B"/>
    <w:multiLevelType w:val="hybridMultilevel"/>
    <w:lvl w:ilvl="0">
      <w:lvlJc w:val="left"/>
      <w:lvlText w:val="%1."/>
      <w:numFmt w:val="decimal"/>
      <w:start w:val="9"/>
    </w:lvl>
    <w:lvl w:ilvl="1">
      <w:lvlJc w:val="left"/>
      <w:lvlText w:val="%2"/>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2026-06-26T16:00:28Z</dcterms:created>
  <dcterms:modified xsi:type="dcterms:W3CDTF">2026-06-26T16:00:28Z</dcterms:modified>
</cp:coreProperties>
</file>